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3432E" w14:textId="0C8F0B71" w:rsidR="004B4476" w:rsidRDefault="00647D0C" w:rsidP="004B4476">
      <w:pPr>
        <w:spacing w:after="0" w:line="240" w:lineRule="auto"/>
        <w:rPr>
          <w:rFonts w:ascii="Times New Roman" w:hAnsi="Times New Roman" w:cs="Times New Roman"/>
          <w:b/>
          <w:sz w:val="24"/>
          <w:szCs w:val="24"/>
        </w:rPr>
      </w:pPr>
      <w:r>
        <w:rPr>
          <w:noProof/>
        </w:rPr>
        <w:drawing>
          <wp:anchor distT="0" distB="0" distL="114300" distR="114300" simplePos="0" relativeHeight="251661312" behindDoc="1" locked="0" layoutInCell="1" allowOverlap="1" wp14:anchorId="66B695C3" wp14:editId="05DAC8CC">
            <wp:simplePos x="0" y="0"/>
            <wp:positionH relativeFrom="margin">
              <wp:align>center</wp:align>
            </wp:positionH>
            <wp:positionV relativeFrom="paragraph">
              <wp:posOffset>-238125</wp:posOffset>
            </wp:positionV>
            <wp:extent cx="7077075" cy="4292211"/>
            <wp:effectExtent l="0" t="0" r="0" b="0"/>
            <wp:wrapNone/>
            <wp:docPr id="16" name="Picture 16" descr="Ths is a photograph of a teacher and two students working on an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39406252.jpg"/>
                    <pic:cNvPicPr/>
                  </pic:nvPicPr>
                  <pic:blipFill rotWithShape="1">
                    <a:blip r:embed="rId12" cstate="print">
                      <a:extLst>
                        <a:ext uri="{28A0092B-C50C-407E-A947-70E740481C1C}">
                          <a14:useLocalDpi xmlns:a14="http://schemas.microsoft.com/office/drawing/2010/main"/>
                        </a:ext>
                      </a:extLst>
                    </a:blip>
                    <a:srcRect t="5193" b="2948"/>
                    <a:stretch/>
                  </pic:blipFill>
                  <pic:spPr bwMode="auto">
                    <a:xfrm>
                      <a:off x="0" y="0"/>
                      <a:ext cx="7077075" cy="4292211"/>
                    </a:xfrm>
                    <a:prstGeom prst="rect">
                      <a:avLst/>
                    </a:prstGeom>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D695B07" w14:textId="77777777" w:rsidR="004B4476" w:rsidRDefault="004B4476" w:rsidP="004B4476">
      <w:pPr>
        <w:spacing w:after="0" w:line="240" w:lineRule="auto"/>
        <w:rPr>
          <w:rFonts w:ascii="Times New Roman" w:hAnsi="Times New Roman" w:cs="Times New Roman"/>
          <w:b/>
          <w:sz w:val="24"/>
          <w:szCs w:val="24"/>
        </w:rPr>
      </w:pPr>
    </w:p>
    <w:p w14:paraId="2A2B4B51" w14:textId="77777777" w:rsidR="004B4476" w:rsidRDefault="004B4476" w:rsidP="004B4476">
      <w:pPr>
        <w:spacing w:after="0" w:line="240" w:lineRule="auto"/>
        <w:rPr>
          <w:rFonts w:ascii="Times New Roman" w:hAnsi="Times New Roman" w:cs="Times New Roman"/>
          <w:b/>
          <w:sz w:val="24"/>
          <w:szCs w:val="24"/>
        </w:rPr>
      </w:pPr>
    </w:p>
    <w:p w14:paraId="6D96D7A3" w14:textId="77777777" w:rsidR="004B4476" w:rsidRDefault="004B4476" w:rsidP="004B4476">
      <w:pPr>
        <w:spacing w:after="0" w:line="240" w:lineRule="auto"/>
        <w:rPr>
          <w:rFonts w:ascii="Times New Roman" w:hAnsi="Times New Roman" w:cs="Times New Roman"/>
          <w:b/>
          <w:sz w:val="24"/>
          <w:szCs w:val="24"/>
        </w:rPr>
      </w:pPr>
    </w:p>
    <w:p w14:paraId="7D586E7F" w14:textId="2A51D02C" w:rsidR="004B4476" w:rsidRDefault="004B4476" w:rsidP="004B4476">
      <w:pPr>
        <w:spacing w:after="0" w:line="240" w:lineRule="auto"/>
        <w:rPr>
          <w:rFonts w:ascii="Times New Roman" w:hAnsi="Times New Roman" w:cs="Times New Roman"/>
          <w:b/>
          <w:sz w:val="24"/>
          <w:szCs w:val="24"/>
        </w:rPr>
      </w:pPr>
    </w:p>
    <w:p w14:paraId="1FABF949" w14:textId="5759A675" w:rsidR="00647D0C" w:rsidRDefault="00647D0C" w:rsidP="004B4476">
      <w:pPr>
        <w:spacing w:after="0" w:line="240" w:lineRule="auto"/>
        <w:rPr>
          <w:rFonts w:ascii="Times New Roman" w:hAnsi="Times New Roman" w:cs="Times New Roman"/>
          <w:b/>
          <w:sz w:val="24"/>
          <w:szCs w:val="24"/>
        </w:rPr>
      </w:pPr>
    </w:p>
    <w:p w14:paraId="2553C4BA" w14:textId="78C3027A" w:rsidR="00647D0C" w:rsidRDefault="00647D0C" w:rsidP="004B4476">
      <w:pPr>
        <w:spacing w:after="0" w:line="240" w:lineRule="auto"/>
        <w:rPr>
          <w:rFonts w:ascii="Times New Roman" w:hAnsi="Times New Roman" w:cs="Times New Roman"/>
          <w:b/>
          <w:sz w:val="24"/>
          <w:szCs w:val="24"/>
        </w:rPr>
      </w:pPr>
    </w:p>
    <w:p w14:paraId="6C42E7D9" w14:textId="00721D80" w:rsidR="00647D0C" w:rsidRDefault="00647D0C" w:rsidP="004B4476">
      <w:pPr>
        <w:spacing w:after="0" w:line="240" w:lineRule="auto"/>
        <w:rPr>
          <w:rFonts w:ascii="Times New Roman" w:hAnsi="Times New Roman" w:cs="Times New Roman"/>
          <w:b/>
          <w:sz w:val="24"/>
          <w:szCs w:val="24"/>
        </w:rPr>
      </w:pPr>
    </w:p>
    <w:p w14:paraId="34E26834" w14:textId="4B490F93" w:rsidR="00647D0C" w:rsidRDefault="002A78B0" w:rsidP="002A78B0">
      <w:pPr>
        <w:tabs>
          <w:tab w:val="left" w:pos="3192"/>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14:paraId="7826F046" w14:textId="02D3E5B4" w:rsidR="00647D0C" w:rsidRDefault="00647D0C" w:rsidP="004B4476">
      <w:pPr>
        <w:spacing w:after="0" w:line="240" w:lineRule="auto"/>
        <w:rPr>
          <w:rFonts w:ascii="Times New Roman" w:hAnsi="Times New Roman" w:cs="Times New Roman"/>
          <w:b/>
          <w:sz w:val="24"/>
          <w:szCs w:val="24"/>
        </w:rPr>
      </w:pPr>
    </w:p>
    <w:p w14:paraId="161FD627" w14:textId="22C0F758" w:rsidR="00647D0C" w:rsidRDefault="00647D0C" w:rsidP="004B4476">
      <w:pPr>
        <w:spacing w:after="0" w:line="240" w:lineRule="auto"/>
        <w:rPr>
          <w:rFonts w:ascii="Times New Roman" w:hAnsi="Times New Roman" w:cs="Times New Roman"/>
          <w:b/>
          <w:sz w:val="24"/>
          <w:szCs w:val="24"/>
        </w:rPr>
      </w:pPr>
    </w:p>
    <w:p w14:paraId="5FDDC22F" w14:textId="45EF937D" w:rsidR="00647D0C" w:rsidRDefault="00647D0C" w:rsidP="004B4476">
      <w:pPr>
        <w:spacing w:after="0" w:line="240" w:lineRule="auto"/>
        <w:rPr>
          <w:rFonts w:ascii="Times New Roman" w:hAnsi="Times New Roman" w:cs="Times New Roman"/>
          <w:b/>
          <w:sz w:val="24"/>
          <w:szCs w:val="24"/>
        </w:rPr>
      </w:pPr>
    </w:p>
    <w:p w14:paraId="12FA0DB6" w14:textId="565F2D8C" w:rsidR="00647D0C" w:rsidRDefault="00647D0C" w:rsidP="004B4476">
      <w:pPr>
        <w:spacing w:after="0" w:line="240" w:lineRule="auto"/>
        <w:rPr>
          <w:rFonts w:ascii="Times New Roman" w:hAnsi="Times New Roman" w:cs="Times New Roman"/>
          <w:b/>
          <w:sz w:val="24"/>
          <w:szCs w:val="24"/>
        </w:rPr>
      </w:pPr>
    </w:p>
    <w:p w14:paraId="1C6346A7" w14:textId="3001A98E" w:rsidR="00647D0C" w:rsidRDefault="00647D0C" w:rsidP="004B4476">
      <w:pPr>
        <w:spacing w:after="0" w:line="240" w:lineRule="auto"/>
        <w:rPr>
          <w:rFonts w:ascii="Times New Roman" w:hAnsi="Times New Roman" w:cs="Times New Roman"/>
          <w:b/>
          <w:sz w:val="24"/>
          <w:szCs w:val="24"/>
        </w:rPr>
      </w:pPr>
    </w:p>
    <w:p w14:paraId="4AD26ADA" w14:textId="437E9924" w:rsidR="00647D0C" w:rsidRDefault="00647D0C" w:rsidP="004B4476">
      <w:pPr>
        <w:spacing w:after="0" w:line="240" w:lineRule="auto"/>
        <w:rPr>
          <w:rFonts w:ascii="Times New Roman" w:hAnsi="Times New Roman" w:cs="Times New Roman"/>
          <w:b/>
          <w:sz w:val="24"/>
          <w:szCs w:val="24"/>
        </w:rPr>
      </w:pPr>
    </w:p>
    <w:p w14:paraId="6AC5DC88" w14:textId="6557C03B" w:rsidR="00647D0C" w:rsidRDefault="00647D0C" w:rsidP="004B4476">
      <w:pPr>
        <w:spacing w:after="0" w:line="240" w:lineRule="auto"/>
        <w:rPr>
          <w:rFonts w:ascii="Times New Roman" w:hAnsi="Times New Roman" w:cs="Times New Roman"/>
          <w:b/>
          <w:sz w:val="24"/>
          <w:szCs w:val="24"/>
        </w:rPr>
      </w:pPr>
    </w:p>
    <w:p w14:paraId="72767ADC" w14:textId="1CAE76AD" w:rsidR="00647D0C" w:rsidRDefault="00647D0C" w:rsidP="004B4476">
      <w:pPr>
        <w:spacing w:after="0" w:line="240" w:lineRule="auto"/>
        <w:rPr>
          <w:rFonts w:ascii="Times New Roman" w:hAnsi="Times New Roman" w:cs="Times New Roman"/>
          <w:b/>
          <w:sz w:val="24"/>
          <w:szCs w:val="24"/>
        </w:rPr>
      </w:pPr>
    </w:p>
    <w:p w14:paraId="71B3CD2C" w14:textId="29F0D8D7" w:rsidR="00647D0C" w:rsidRDefault="00647D0C" w:rsidP="004B4476">
      <w:pPr>
        <w:spacing w:after="0" w:line="240" w:lineRule="auto"/>
        <w:rPr>
          <w:rFonts w:ascii="Times New Roman" w:hAnsi="Times New Roman" w:cs="Times New Roman"/>
          <w:b/>
          <w:sz w:val="24"/>
          <w:szCs w:val="24"/>
        </w:rPr>
      </w:pPr>
    </w:p>
    <w:p w14:paraId="3BAB3EBD" w14:textId="7F670D29" w:rsidR="00647D0C" w:rsidRDefault="00647D0C" w:rsidP="004B4476">
      <w:pPr>
        <w:spacing w:after="0" w:line="240" w:lineRule="auto"/>
        <w:rPr>
          <w:rFonts w:ascii="Times New Roman" w:hAnsi="Times New Roman" w:cs="Times New Roman"/>
          <w:b/>
          <w:sz w:val="24"/>
          <w:szCs w:val="24"/>
        </w:rPr>
      </w:pPr>
    </w:p>
    <w:p w14:paraId="43CE5903" w14:textId="6C0B8B0F" w:rsidR="00647D0C" w:rsidRDefault="00224B13" w:rsidP="004B4476">
      <w:pPr>
        <w:spacing w:after="0" w:line="240" w:lineRule="auto"/>
        <w:rPr>
          <w:rFonts w:ascii="Times New Roman" w:hAnsi="Times New Roman" w:cs="Times New Roman"/>
          <w:b/>
          <w:sz w:val="24"/>
          <w:szCs w:val="24"/>
        </w:rPr>
      </w:pPr>
      <w:r w:rsidRPr="00763ADB">
        <w:rPr>
          <w:noProof/>
        </w:rPr>
        <mc:AlternateContent>
          <mc:Choice Requires="wps">
            <w:drawing>
              <wp:anchor distT="0" distB="0" distL="114300" distR="114300" simplePos="0" relativeHeight="251663360" behindDoc="1" locked="0" layoutInCell="1" allowOverlap="1" wp14:anchorId="3BE712F4" wp14:editId="6D21CDD1">
                <wp:simplePos x="0" y="0"/>
                <wp:positionH relativeFrom="column">
                  <wp:posOffset>-95250</wp:posOffset>
                </wp:positionH>
                <wp:positionV relativeFrom="paragraph">
                  <wp:posOffset>108585</wp:posOffset>
                </wp:positionV>
                <wp:extent cx="5543550" cy="400050"/>
                <wp:effectExtent l="38100" t="38100" r="76200" b="95250"/>
                <wp:wrapNone/>
                <wp:docPr id="19" name="Pentagon 19"/>
                <wp:cNvGraphicFramePr/>
                <a:graphic xmlns:a="http://schemas.openxmlformats.org/drawingml/2006/main">
                  <a:graphicData uri="http://schemas.microsoft.com/office/word/2010/wordprocessingShape">
                    <wps:wsp>
                      <wps:cNvSpPr/>
                      <wps:spPr>
                        <a:xfrm>
                          <a:off x="0" y="0"/>
                          <a:ext cx="5543550" cy="400050"/>
                        </a:xfrm>
                        <a:prstGeom prst="homePlate">
                          <a:avLst/>
                        </a:prstGeom>
                        <a:solidFill>
                          <a:srgbClr val="EC8521"/>
                        </a:solidFill>
                        <a:ln>
                          <a:noFill/>
                        </a:ln>
                        <a:effectLst>
                          <a:outerShdw blurRad="50800" dist="38100" dir="2700000" algn="tl"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txbx>
                        <w:txbxContent>
                          <w:p w14:paraId="0D51E54A" w14:textId="56FA1013" w:rsidR="004E1A55" w:rsidRPr="00224B13" w:rsidRDefault="008026D6" w:rsidP="008026D6">
                            <w:pPr>
                              <w:rPr>
                                <w:sz w:val="44"/>
                                <w:szCs w:val="44"/>
                              </w:rPr>
                            </w:pPr>
                            <w:r>
                              <w:rPr>
                                <w:rFonts w:asciiTheme="majorHAnsi" w:hAnsiTheme="majorHAnsi"/>
                                <w:color w:val="FFFFFF" w:themeColor="background1"/>
                                <w:sz w:val="48"/>
                                <w:szCs w:val="72"/>
                              </w:rPr>
                              <w:t xml:space="preserve">  </w:t>
                            </w:r>
                            <w:r w:rsidR="004E1A55" w:rsidRPr="00224B13">
                              <w:rPr>
                                <w:rFonts w:asciiTheme="majorHAnsi" w:hAnsiTheme="majorHAnsi"/>
                                <w:color w:val="FFFFFF" w:themeColor="background1"/>
                                <w:sz w:val="44"/>
                                <w:szCs w:val="44"/>
                              </w:rPr>
                              <w:t xml:space="preserve">DESE Policy Brief • </w:t>
                            </w:r>
                            <w:r w:rsidR="008C71E1">
                              <w:rPr>
                                <w:rFonts w:asciiTheme="majorHAnsi" w:hAnsiTheme="majorHAnsi"/>
                                <w:color w:val="FFFFFF" w:themeColor="background1"/>
                                <w:sz w:val="44"/>
                                <w:szCs w:val="44"/>
                              </w:rPr>
                              <w:t>December</w:t>
                            </w:r>
                            <w:r w:rsidRPr="00224B13">
                              <w:rPr>
                                <w:rFonts w:asciiTheme="majorHAnsi" w:hAnsiTheme="majorHAnsi"/>
                                <w:color w:val="FFFFFF" w:themeColor="background1"/>
                                <w:sz w:val="44"/>
                                <w:szCs w:val="44"/>
                              </w:rPr>
                              <w:t xml:space="preserv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712F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9" o:spid="_x0000_s1026" type="#_x0000_t15" style="position:absolute;margin-left:-7.5pt;margin-top:8.55pt;width:436.5pt;height: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" adj="20821" fillcolor="#ec8521" stroked="f" strokeweight="1pt">
                <v:shadow on="t" color="black" opacity="26214f" origin="-.5,-.5" offset=".74836mm,.74836mm"/>
                <v:textbox>
                  <w:txbxContent>
                    <w:p w14:paraId="0D51E54A" w14:textId="56FA1013" w:rsidR="004E1A55" w:rsidRPr="00224B13" w:rsidRDefault="008026D6" w:rsidP="008026D6">
                      <w:pPr>
                        <w:rPr>
                          <w:sz w:val="44"/>
                          <w:szCs w:val="44"/>
                        </w:rPr>
                      </w:pPr>
                      <w:r>
                        <w:rPr>
                          <w:rFonts w:asciiTheme="majorHAnsi" w:hAnsiTheme="majorHAnsi"/>
                          <w:color w:val="FFFFFF" w:themeColor="background1"/>
                          <w:sz w:val="48"/>
                          <w:szCs w:val="72"/>
                        </w:rPr>
                        <w:t xml:space="preserve">  </w:t>
                      </w:r>
                      <w:r w:rsidR="004E1A55" w:rsidRPr="00224B13">
                        <w:rPr>
                          <w:rFonts w:asciiTheme="majorHAnsi" w:hAnsiTheme="majorHAnsi"/>
                          <w:color w:val="FFFFFF" w:themeColor="background1"/>
                          <w:sz w:val="44"/>
                          <w:szCs w:val="44"/>
                        </w:rPr>
                        <w:t xml:space="preserve">DESE Policy Brief • </w:t>
                      </w:r>
                      <w:r w:rsidR="008C71E1">
                        <w:rPr>
                          <w:rFonts w:asciiTheme="majorHAnsi" w:hAnsiTheme="majorHAnsi"/>
                          <w:color w:val="FFFFFF" w:themeColor="background1"/>
                          <w:sz w:val="44"/>
                          <w:szCs w:val="44"/>
                        </w:rPr>
                        <w:t>December</w:t>
                      </w:r>
                      <w:r w:rsidRPr="00224B13">
                        <w:rPr>
                          <w:rFonts w:asciiTheme="majorHAnsi" w:hAnsiTheme="majorHAnsi"/>
                          <w:color w:val="FFFFFF" w:themeColor="background1"/>
                          <w:sz w:val="44"/>
                          <w:szCs w:val="44"/>
                        </w:rPr>
                        <w:t xml:space="preserve"> 2019</w:t>
                      </w:r>
                    </w:p>
                  </w:txbxContent>
                </v:textbox>
              </v:shape>
            </w:pict>
          </mc:Fallback>
        </mc:AlternateContent>
      </w:r>
    </w:p>
    <w:p w14:paraId="7EF4175D" w14:textId="4E467C26" w:rsidR="00647D0C" w:rsidRDefault="00647D0C" w:rsidP="004B4476">
      <w:pPr>
        <w:spacing w:after="0" w:line="240" w:lineRule="auto"/>
        <w:rPr>
          <w:rFonts w:ascii="Times New Roman" w:hAnsi="Times New Roman" w:cs="Times New Roman"/>
          <w:b/>
          <w:sz w:val="24"/>
          <w:szCs w:val="24"/>
        </w:rPr>
      </w:pPr>
    </w:p>
    <w:p w14:paraId="24C97FCE" w14:textId="011596C0" w:rsidR="00647D0C" w:rsidRDefault="008026D6" w:rsidP="004B4476">
      <w:pPr>
        <w:spacing w:after="0" w:line="240" w:lineRule="auto"/>
        <w:rPr>
          <w:rFonts w:ascii="Times New Roman" w:hAnsi="Times New Roman" w:cs="Times New Roman"/>
          <w:b/>
          <w:sz w:val="24"/>
          <w:szCs w:val="24"/>
        </w:rPr>
      </w:pPr>
      <w:r w:rsidRPr="00763ADB">
        <w:rPr>
          <w:noProof/>
        </w:rPr>
        <mc:AlternateContent>
          <mc:Choice Requires="wps">
            <w:drawing>
              <wp:anchor distT="0" distB="0" distL="114300" distR="114300" simplePos="0" relativeHeight="251665408" behindDoc="1" locked="0" layoutInCell="1" allowOverlap="1" wp14:anchorId="2AAEE922" wp14:editId="35E1FF2A">
                <wp:simplePos x="0" y="0"/>
                <wp:positionH relativeFrom="margin">
                  <wp:posOffset>-104775</wp:posOffset>
                </wp:positionH>
                <wp:positionV relativeFrom="paragraph">
                  <wp:posOffset>167640</wp:posOffset>
                </wp:positionV>
                <wp:extent cx="7067550" cy="428625"/>
                <wp:effectExtent l="38100" t="38100" r="76200" b="104775"/>
                <wp:wrapNone/>
                <wp:docPr id="13" name="Pentagon 13"/>
                <wp:cNvGraphicFramePr/>
                <a:graphic xmlns:a="http://schemas.openxmlformats.org/drawingml/2006/main">
                  <a:graphicData uri="http://schemas.microsoft.com/office/word/2010/wordprocessingShape">
                    <wps:wsp>
                      <wps:cNvSpPr/>
                      <wps:spPr>
                        <a:xfrm>
                          <a:off x="0" y="0"/>
                          <a:ext cx="7067550" cy="428625"/>
                        </a:xfrm>
                        <a:prstGeom prst="homePlate">
                          <a:avLst/>
                        </a:prstGeom>
                        <a:solidFill>
                          <a:srgbClr val="004386"/>
                        </a:solidFill>
                        <a:ln>
                          <a:noFill/>
                        </a:ln>
                        <a:effectLst>
                          <a:outerShdw blurRad="50800" dist="38100" dir="2700000" algn="tl"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txbx>
                        <w:txbxContent>
                          <w:p w14:paraId="4CEE4C0E" w14:textId="372FC547" w:rsidR="004E1A55" w:rsidRPr="00224B13" w:rsidRDefault="008026D6" w:rsidP="008026D6">
                            <w:pPr>
                              <w:pStyle w:val="Heading1"/>
                              <w:spacing w:after="0" w:line="240" w:lineRule="auto"/>
                              <w:ind w:right="0" w:firstLine="0"/>
                              <w:rPr>
                                <w:rFonts w:ascii="Georgia" w:hAnsi="Georgia"/>
                                <w:b w:val="0"/>
                                <w:color w:val="FFFFFF" w:themeColor="background1"/>
                                <w:sz w:val="52"/>
                                <w:szCs w:val="52"/>
                              </w:rPr>
                            </w:pPr>
                            <w:r>
                              <w:rPr>
                                <w:rFonts w:ascii="Georgia" w:hAnsi="Georgia"/>
                                <w:b w:val="0"/>
                                <w:color w:val="FFFFFF" w:themeColor="background1"/>
                                <w:sz w:val="56"/>
                                <w:szCs w:val="56"/>
                              </w:rPr>
                              <w:t xml:space="preserve">  </w:t>
                            </w:r>
                            <w:r w:rsidRPr="00224B13">
                              <w:rPr>
                                <w:rFonts w:ascii="Georgia" w:hAnsi="Georgia"/>
                                <w:b w:val="0"/>
                                <w:color w:val="FFFFFF" w:themeColor="background1"/>
                                <w:sz w:val="52"/>
                                <w:szCs w:val="52"/>
                              </w:rPr>
                              <w:t>A First Look at School</w:t>
                            </w:r>
                            <w:r w:rsidR="00301135">
                              <w:rPr>
                                <w:rFonts w:ascii="Georgia" w:hAnsi="Georgia"/>
                                <w:b w:val="0"/>
                                <w:color w:val="FFFFFF" w:themeColor="background1"/>
                                <w:sz w:val="52"/>
                                <w:szCs w:val="52"/>
                              </w:rPr>
                              <w:t>-</w:t>
                            </w:r>
                            <w:r w:rsidRPr="00224B13">
                              <w:rPr>
                                <w:rFonts w:ascii="Georgia" w:hAnsi="Georgia"/>
                                <w:b w:val="0"/>
                                <w:color w:val="FFFFFF" w:themeColor="background1"/>
                                <w:sz w:val="52"/>
                                <w:szCs w:val="52"/>
                              </w:rPr>
                              <w:t>Level Expenditures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E922" id="Pentagon 13" o:spid="_x0000_s1027" type="#_x0000_t15" style="position:absolute;margin-left:-8.25pt;margin-top:13.2pt;width:556.5pt;height:33.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" adj="20945" fillcolor="#004386" stroked="f" strokeweight="1pt">
                <v:shadow on="t" color="black" opacity="26214f" origin="-.5,-.5" offset=".74836mm,.74836mm"/>
                <v:textbox>
                  <w:txbxContent>
                    <w:p w14:paraId="4CEE4C0E" w14:textId="372FC547" w:rsidR="004E1A55" w:rsidRPr="00224B13" w:rsidRDefault="008026D6" w:rsidP="008026D6">
                      <w:pPr>
                        <w:pStyle w:val="Heading1"/>
                        <w:spacing w:after="0" w:line="240" w:lineRule="auto"/>
                        <w:ind w:right="0" w:firstLine="0"/>
                        <w:rPr>
                          <w:rFonts w:ascii="Georgia" w:hAnsi="Georgia"/>
                          <w:b w:val="0"/>
                          <w:color w:val="FFFFFF" w:themeColor="background1"/>
                          <w:sz w:val="52"/>
                          <w:szCs w:val="52"/>
                        </w:rPr>
                      </w:pPr>
                      <w:r>
                        <w:rPr>
                          <w:rFonts w:ascii="Georgia" w:hAnsi="Georgia"/>
                          <w:b w:val="0"/>
                          <w:color w:val="FFFFFF" w:themeColor="background1"/>
                          <w:sz w:val="56"/>
                          <w:szCs w:val="56"/>
                        </w:rPr>
                        <w:t xml:space="preserve">  </w:t>
                      </w:r>
                      <w:r w:rsidRPr="00224B13">
                        <w:rPr>
                          <w:rFonts w:ascii="Georgia" w:hAnsi="Georgia"/>
                          <w:b w:val="0"/>
                          <w:color w:val="FFFFFF" w:themeColor="background1"/>
                          <w:sz w:val="52"/>
                          <w:szCs w:val="52"/>
                        </w:rPr>
                        <w:t>A First Look at School</w:t>
                      </w:r>
                      <w:r w:rsidR="00301135">
                        <w:rPr>
                          <w:rFonts w:ascii="Georgia" w:hAnsi="Georgia"/>
                          <w:b w:val="0"/>
                          <w:color w:val="FFFFFF" w:themeColor="background1"/>
                          <w:sz w:val="52"/>
                          <w:szCs w:val="52"/>
                        </w:rPr>
                        <w:t>-</w:t>
                      </w:r>
                      <w:r w:rsidRPr="00224B13">
                        <w:rPr>
                          <w:rFonts w:ascii="Georgia" w:hAnsi="Georgia"/>
                          <w:b w:val="0"/>
                          <w:color w:val="FFFFFF" w:themeColor="background1"/>
                          <w:sz w:val="52"/>
                          <w:szCs w:val="52"/>
                        </w:rPr>
                        <w:t>Level Expenditures</w:t>
                      </w:r>
                    </w:p>
                  </w:txbxContent>
                </v:textbox>
                <w10:wrap anchorx="margin"/>
              </v:shape>
            </w:pict>
          </mc:Fallback>
        </mc:AlternateContent>
      </w:r>
    </w:p>
    <w:p w14:paraId="256AF107" w14:textId="2509FF49" w:rsidR="00647D0C" w:rsidRDefault="00647D0C" w:rsidP="004B4476">
      <w:pPr>
        <w:spacing w:after="0" w:line="240" w:lineRule="auto"/>
        <w:rPr>
          <w:rFonts w:ascii="Times New Roman" w:hAnsi="Times New Roman" w:cs="Times New Roman"/>
          <w:b/>
          <w:sz w:val="24"/>
          <w:szCs w:val="24"/>
        </w:rPr>
      </w:pPr>
    </w:p>
    <w:p w14:paraId="65E1B121" w14:textId="68CD6C62" w:rsidR="00647D0C" w:rsidRDefault="00647D0C" w:rsidP="004B4476">
      <w:pPr>
        <w:spacing w:after="0" w:line="240" w:lineRule="auto"/>
        <w:rPr>
          <w:rFonts w:ascii="Times New Roman" w:hAnsi="Times New Roman" w:cs="Times New Roman"/>
          <w:b/>
          <w:sz w:val="24"/>
          <w:szCs w:val="24"/>
        </w:rPr>
      </w:pPr>
    </w:p>
    <w:p w14:paraId="4781C79E" w14:textId="298DFF64" w:rsidR="00647D0C" w:rsidRDefault="00647D0C" w:rsidP="004B4476">
      <w:pPr>
        <w:spacing w:after="0" w:line="240" w:lineRule="auto"/>
        <w:rPr>
          <w:rFonts w:ascii="Times New Roman" w:hAnsi="Times New Roman" w:cs="Times New Roman"/>
          <w:b/>
          <w:sz w:val="24"/>
          <w:szCs w:val="24"/>
        </w:rPr>
      </w:pPr>
    </w:p>
    <w:p w14:paraId="45883E31" w14:textId="01626B5A" w:rsidR="007D69D3" w:rsidRDefault="008026D6" w:rsidP="007D69D3">
      <w:pPr>
        <w:spacing w:after="200"/>
      </w:pPr>
      <w:r>
        <w:t xml:space="preserve">With the release of the Massachusetts Department of Elementary and Secondary Education’s </w:t>
      </w:r>
      <w:hyperlink r:id="rId13" w:history="1">
        <w:r w:rsidRPr="001259EB">
          <w:rPr>
            <w:rStyle w:val="Hyperlink"/>
          </w:rPr>
          <w:t>2018</w:t>
        </w:r>
        <w:r>
          <w:rPr>
            <w:rStyle w:val="Hyperlink"/>
          </w:rPr>
          <w:t>–</w:t>
        </w:r>
        <w:r w:rsidRPr="001259EB">
          <w:rPr>
            <w:rStyle w:val="Hyperlink"/>
          </w:rPr>
          <w:t>19 school report cards</w:t>
        </w:r>
      </w:hyperlink>
      <w:r>
        <w:t xml:space="preserve">, parents and administrators now have access to information on school-level spending for all Massachusetts public schools. </w:t>
      </w:r>
      <w:r w:rsidR="00173949">
        <w:t>T</w:t>
      </w:r>
      <w:r>
        <w:t>hese data start to shed light on how funds are distributed among schools that differ by enrollment size, grades served, and student need, among many other factors.</w:t>
      </w:r>
    </w:p>
    <w:p w14:paraId="385BAF2E" w14:textId="124633B5" w:rsidR="008026D6" w:rsidRDefault="008026D6" w:rsidP="007D69D3">
      <w:pPr>
        <w:spacing w:after="200"/>
      </w:pPr>
      <w:r>
        <w:t>Most previous data and research have centered on education funding and spending at the district level. These new data provide insights into spending at individual schools. This brief aims to provide context for these data by assessing factors that affect school spending levels within districts and across Massachusetts.</w:t>
      </w:r>
    </w:p>
    <w:p w14:paraId="7B99BB7A" w14:textId="1958AECE" w:rsidR="00224B13" w:rsidRDefault="00F54C14" w:rsidP="007D69D3">
      <w:pPr>
        <w:spacing w:after="200"/>
        <w:sectPr w:rsidR="00224B13" w:rsidSect="00224B13">
          <w:footerReference w:type="default" r:id="rId14"/>
          <w:pgSz w:w="12240" w:h="15840"/>
          <w:pgMar w:top="720" w:right="720" w:bottom="720" w:left="720" w:header="720" w:footer="720" w:gutter="0"/>
          <w:cols w:space="720"/>
          <w:docGrid w:linePitch="360"/>
        </w:sectPr>
      </w:pPr>
      <w:r>
        <w:rPr>
          <w:noProof/>
        </w:rPr>
        <mc:AlternateContent>
          <mc:Choice Requires="wps">
            <w:drawing>
              <wp:anchor distT="45720" distB="45720" distL="114300" distR="114300" simplePos="0" relativeHeight="251678720" behindDoc="0" locked="0" layoutInCell="1" allowOverlap="1" wp14:anchorId="29C06E0C" wp14:editId="2E694F31">
                <wp:simplePos x="0" y="0"/>
                <wp:positionH relativeFrom="margin">
                  <wp:align>left</wp:align>
                </wp:positionH>
                <wp:positionV relativeFrom="paragraph">
                  <wp:posOffset>1042670</wp:posOffset>
                </wp:positionV>
                <wp:extent cx="6905625" cy="685800"/>
                <wp:effectExtent l="0" t="0" r="952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85800"/>
                        </a:xfrm>
                        <a:prstGeom prst="rect">
                          <a:avLst/>
                        </a:prstGeom>
                        <a:solidFill>
                          <a:srgbClr val="FFFFFF"/>
                        </a:solidFill>
                        <a:ln w="9525">
                          <a:noFill/>
                          <a:miter lim="800000"/>
                          <a:headEnd/>
                          <a:tailEnd/>
                        </a:ln>
                      </wps:spPr>
                      <wps:txbx>
                        <w:txbxContent>
                          <w:p w14:paraId="540A6472" w14:textId="1607221F" w:rsidR="00F3157F" w:rsidRDefault="00F3157F">
                            <w:r w:rsidRPr="00F3157F">
                              <w:rPr>
                                <w:noProof/>
                              </w:rPr>
                              <w:drawing>
                                <wp:inline distT="0" distB="0" distL="0" distR="0" wp14:anchorId="12EFA73E" wp14:editId="579C7A82">
                                  <wp:extent cx="3267635" cy="514350"/>
                                  <wp:effectExtent l="0" t="0" r="9525" b="0"/>
                                  <wp:docPr id="40" name="Picture 40" descr="A text box listing the two authors of this report:&#10;Kristin Blagg and Victoria Lee of the Urba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0517" cy="514804"/>
                                          </a:xfrm>
                                          <a:prstGeom prst="rect">
                                            <a:avLst/>
                                          </a:prstGeom>
                                          <a:noFill/>
                                          <a:ln>
                                            <a:noFill/>
                                          </a:ln>
                                        </pic:spPr>
                                      </pic:pic>
                                    </a:graphicData>
                                  </a:graphic>
                                </wp:inline>
                              </w:drawing>
                            </w:r>
                            <w:r>
                              <w:rPr>
                                <w:noProof/>
                              </w:rPr>
                              <w:t xml:space="preserve">                 </w:t>
                            </w:r>
                            <w:r w:rsidR="008F72C9">
                              <w:rPr>
                                <w:noProof/>
                              </w:rPr>
                              <w:t xml:space="preserve">                </w:t>
                            </w:r>
                            <w:r>
                              <w:rPr>
                                <w:noProof/>
                              </w:rPr>
                              <w:t xml:space="preserve">              </w:t>
                            </w:r>
                            <w:r>
                              <w:rPr>
                                <w:noProof/>
                              </w:rPr>
                              <w:drawing>
                                <wp:inline distT="0" distB="0" distL="0" distR="0" wp14:anchorId="243F282B" wp14:editId="50BBA486">
                                  <wp:extent cx="1828800" cy="635192"/>
                                  <wp:effectExtent l="0" t="0" r="0" b="0"/>
                                  <wp:docPr id="41" name="Picture 41"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logo.png"/>
                                          <pic:cNvPicPr/>
                                        </pic:nvPicPr>
                                        <pic:blipFill>
                                          <a:blip r:embed="rId16">
                                            <a:extLst>
                                              <a:ext uri="{28A0092B-C50C-407E-A947-70E740481C1C}">
                                                <a14:useLocalDpi xmlns:a14="http://schemas.microsoft.com/office/drawing/2010/main" val="0"/>
                                              </a:ext>
                                            </a:extLst>
                                          </a:blip>
                                          <a:stretch>
                                            <a:fillRect/>
                                          </a:stretch>
                                        </pic:blipFill>
                                        <pic:spPr>
                                          <a:xfrm>
                                            <a:off x="0" y="0"/>
                                            <a:ext cx="1857073" cy="6450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06E0C" id="_x0000_t202" coordsize="21600,21600" o:spt="202" path="m,l,21600r21600,l21600,xe">
                <v:stroke joinstyle="miter"/>
                <v:path gradientshapeok="t" o:connecttype="rect"/>
              </v:shapetype>
              <v:shape id="Text Box 2" o:spid="_x0000_s1028" type="#_x0000_t202" style="position:absolute;margin-left:0;margin-top:82.1pt;width:543.75pt;height:54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" stroked="f">
                <v:textbox>
                  <w:txbxContent>
                    <w:p w14:paraId="540A6472" w14:textId="1607221F" w:rsidR="00F3157F" w:rsidRDefault="00F3157F">
                      <w:r w:rsidRPr="00F3157F">
                        <w:rPr>
                          <w:noProof/>
                        </w:rPr>
                        <w:drawing>
                          <wp:inline distT="0" distB="0" distL="0" distR="0" wp14:anchorId="12EFA73E" wp14:editId="579C7A82">
                            <wp:extent cx="3267635" cy="514350"/>
                            <wp:effectExtent l="0" t="0" r="9525" b="0"/>
                            <wp:docPr id="40" name="Picture 40" descr="A text box listing the two authors of this report:&#10;Kristin Blagg and Victoria Lee of the Urba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0517" cy="514804"/>
                                    </a:xfrm>
                                    <a:prstGeom prst="rect">
                                      <a:avLst/>
                                    </a:prstGeom>
                                    <a:noFill/>
                                    <a:ln>
                                      <a:noFill/>
                                    </a:ln>
                                  </pic:spPr>
                                </pic:pic>
                              </a:graphicData>
                            </a:graphic>
                          </wp:inline>
                        </w:drawing>
                      </w:r>
                      <w:r>
                        <w:rPr>
                          <w:noProof/>
                        </w:rPr>
                        <w:t xml:space="preserve">                 </w:t>
                      </w:r>
                      <w:r w:rsidR="008F72C9">
                        <w:rPr>
                          <w:noProof/>
                        </w:rPr>
                        <w:t xml:space="preserve">                </w:t>
                      </w:r>
                      <w:r>
                        <w:rPr>
                          <w:noProof/>
                        </w:rPr>
                        <w:t xml:space="preserve">              </w:t>
                      </w:r>
                      <w:r>
                        <w:rPr>
                          <w:noProof/>
                        </w:rPr>
                        <w:drawing>
                          <wp:inline distT="0" distB="0" distL="0" distR="0" wp14:anchorId="243F282B" wp14:editId="50BBA486">
                            <wp:extent cx="1828800" cy="635192"/>
                            <wp:effectExtent l="0" t="0" r="0" b="0"/>
                            <wp:docPr id="41" name="Picture 41"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logo.png"/>
                                    <pic:cNvPicPr/>
                                  </pic:nvPicPr>
                                  <pic:blipFill>
                                    <a:blip r:embed="rId16">
                                      <a:extLst>
                                        <a:ext uri="{28A0092B-C50C-407E-A947-70E740481C1C}">
                                          <a14:useLocalDpi xmlns:a14="http://schemas.microsoft.com/office/drawing/2010/main" val="0"/>
                                        </a:ext>
                                      </a:extLst>
                                    </a:blip>
                                    <a:stretch>
                                      <a:fillRect/>
                                    </a:stretch>
                                  </pic:blipFill>
                                  <pic:spPr>
                                    <a:xfrm>
                                      <a:off x="0" y="0"/>
                                      <a:ext cx="1857073" cy="645012"/>
                                    </a:xfrm>
                                    <a:prstGeom prst="rect">
                                      <a:avLst/>
                                    </a:prstGeom>
                                  </pic:spPr>
                                </pic:pic>
                              </a:graphicData>
                            </a:graphic>
                          </wp:inline>
                        </w:drawing>
                      </w:r>
                    </w:p>
                  </w:txbxContent>
                </v:textbox>
                <w10:wrap type="square" anchorx="margin"/>
              </v:shape>
            </w:pict>
          </mc:Fallback>
        </mc:AlternateContent>
      </w:r>
      <w:r w:rsidR="008026D6">
        <w:t xml:space="preserve">In addition, this brief highlights issues around equitable resource allocation across schools. Allocating resources </w:t>
      </w:r>
      <w:r w:rsidR="008026D6" w:rsidRPr="008026D6">
        <w:rPr>
          <w:i/>
        </w:rPr>
        <w:t>equally</w:t>
      </w:r>
      <w:r w:rsidR="008026D6">
        <w:t xml:space="preserve"> among schools is not necessarily </w:t>
      </w:r>
      <w:r w:rsidR="008026D6" w:rsidRPr="008026D6">
        <w:rPr>
          <w:i/>
        </w:rPr>
        <w:t>equitable</w:t>
      </w:r>
      <w:r w:rsidR="008026D6">
        <w:t>, because high-need students (i.e., students who are economically disadvantaged,</w:t>
      </w:r>
      <w:r w:rsidR="008F06DD">
        <w:rPr>
          <w:vertAlign w:val="superscript"/>
        </w:rPr>
        <w:t>1</w:t>
      </w:r>
      <w:r w:rsidR="008F06DD">
        <w:t xml:space="preserve"> </w:t>
      </w:r>
      <w:r w:rsidR="008026D6">
        <w:t xml:space="preserve">students with disabilities, and English learners) may require more resources to achieve academic success. In this brief, we assess whether schools with higher shares of high-need students spend more per pupil, both </w:t>
      </w:r>
      <w:r w:rsidR="00D00475">
        <w:t>a</w:t>
      </w:r>
      <w:r w:rsidR="008026D6">
        <w:t xml:space="preserve">cross the state and within a given school district. </w:t>
      </w:r>
    </w:p>
    <w:p w14:paraId="3C8EABEB" w14:textId="7D27A3F3" w:rsidR="008026D6" w:rsidRDefault="008026D6" w:rsidP="008E6267">
      <w:pPr>
        <w:spacing w:after="120"/>
      </w:pPr>
    </w:p>
    <w:p w14:paraId="74C999C2" w14:textId="100C22C2" w:rsidR="008F06DD" w:rsidRDefault="008F06DD" w:rsidP="008E6267">
      <w:pPr>
        <w:spacing w:after="120"/>
      </w:pPr>
    </w:p>
    <w:p w14:paraId="3C9E29EB" w14:textId="771C7551" w:rsidR="006D123A" w:rsidRDefault="006D123A">
      <w:r>
        <w:br w:type="page"/>
      </w:r>
    </w:p>
    <w:p w14:paraId="5D5E862C" w14:textId="2426A57A" w:rsidR="008026D6" w:rsidRDefault="008026D6" w:rsidP="007D69D3">
      <w:pPr>
        <w:spacing w:after="120"/>
      </w:pPr>
      <w:r>
        <w:lastRenderedPageBreak/>
        <w:t>We address the following questions:</w:t>
      </w:r>
    </w:p>
    <w:p w14:paraId="13D5796D" w14:textId="5649319A" w:rsidR="00A50950" w:rsidRDefault="00143E53" w:rsidP="007D69D3">
      <w:pPr>
        <w:pStyle w:val="ListParagraph"/>
        <w:numPr>
          <w:ilvl w:val="0"/>
          <w:numId w:val="14"/>
        </w:numPr>
        <w:spacing w:after="200"/>
        <w:rPr>
          <w:rFonts w:cstheme="minorHAnsi"/>
          <w:color w:val="004386"/>
        </w:rPr>
      </w:pPr>
      <w:r w:rsidRPr="000F598F">
        <w:rPr>
          <w:rFonts w:cstheme="minorHAnsi"/>
          <w:color w:val="004386"/>
        </w:rPr>
        <w:t xml:space="preserve">How </w:t>
      </w:r>
      <w:r w:rsidR="008026D6">
        <w:rPr>
          <w:rFonts w:cstheme="minorHAnsi"/>
          <w:color w:val="004386"/>
        </w:rPr>
        <w:t>much does Massachusetts spend on its schools</w:t>
      </w:r>
      <w:r w:rsidRPr="000F598F">
        <w:rPr>
          <w:rFonts w:cstheme="minorHAnsi"/>
          <w:color w:val="004386"/>
        </w:rPr>
        <w:t>?</w:t>
      </w:r>
    </w:p>
    <w:p w14:paraId="043A3955" w14:textId="232E15BB" w:rsidR="00143E53" w:rsidRPr="00D764B2" w:rsidRDefault="008026D6" w:rsidP="007D69D3">
      <w:pPr>
        <w:pStyle w:val="ListParagraph"/>
        <w:numPr>
          <w:ilvl w:val="0"/>
          <w:numId w:val="14"/>
        </w:numPr>
        <w:spacing w:after="200"/>
        <w:rPr>
          <w:rFonts w:cstheme="minorHAnsi"/>
          <w:color w:val="004386"/>
        </w:rPr>
      </w:pPr>
      <w:r>
        <w:rPr>
          <w:rFonts w:cstheme="minorHAnsi"/>
          <w:color w:val="004386"/>
        </w:rPr>
        <w:t>What does previous research tell us about district</w:t>
      </w:r>
      <w:r w:rsidR="00301135">
        <w:rPr>
          <w:rFonts w:cstheme="minorHAnsi"/>
          <w:color w:val="004386"/>
        </w:rPr>
        <w:t>-</w:t>
      </w:r>
      <w:r>
        <w:rPr>
          <w:rFonts w:cstheme="minorHAnsi"/>
          <w:color w:val="004386"/>
        </w:rPr>
        <w:t xml:space="preserve"> and school</w:t>
      </w:r>
      <w:r w:rsidR="00301135">
        <w:rPr>
          <w:rFonts w:cstheme="minorHAnsi"/>
          <w:color w:val="004386"/>
        </w:rPr>
        <w:t>-</w:t>
      </w:r>
      <w:r>
        <w:rPr>
          <w:rFonts w:cstheme="minorHAnsi"/>
          <w:color w:val="004386"/>
        </w:rPr>
        <w:t>level spending</w:t>
      </w:r>
      <w:r w:rsidR="00143E53" w:rsidRPr="00D764B2">
        <w:rPr>
          <w:rFonts w:cstheme="minorHAnsi"/>
          <w:color w:val="004386"/>
        </w:rPr>
        <w:t>?</w:t>
      </w:r>
    </w:p>
    <w:p w14:paraId="4E147221" w14:textId="0AA5448D" w:rsidR="00890E6C" w:rsidRDefault="008026D6" w:rsidP="007D69D3">
      <w:pPr>
        <w:pStyle w:val="ListParagraph"/>
        <w:numPr>
          <w:ilvl w:val="0"/>
          <w:numId w:val="14"/>
        </w:numPr>
        <w:spacing w:after="200"/>
        <w:rPr>
          <w:rFonts w:cstheme="minorHAnsi"/>
          <w:color w:val="004386"/>
        </w:rPr>
      </w:pPr>
      <w:r>
        <w:rPr>
          <w:rFonts w:cstheme="minorHAnsi"/>
          <w:color w:val="004386"/>
        </w:rPr>
        <w:t>How does Massachusetts allocate state aid for education to districts</w:t>
      </w:r>
      <w:r w:rsidR="00035ED9">
        <w:rPr>
          <w:rFonts w:cstheme="minorHAnsi"/>
          <w:color w:val="004386"/>
        </w:rPr>
        <w:t>?</w:t>
      </w:r>
    </w:p>
    <w:p w14:paraId="01437D9D" w14:textId="3A045996" w:rsidR="008026D6" w:rsidRDefault="008026D6" w:rsidP="007D69D3">
      <w:pPr>
        <w:pStyle w:val="ListParagraph"/>
        <w:numPr>
          <w:ilvl w:val="0"/>
          <w:numId w:val="14"/>
        </w:numPr>
        <w:spacing w:after="200"/>
        <w:rPr>
          <w:rFonts w:cstheme="minorHAnsi"/>
          <w:color w:val="004386"/>
        </w:rPr>
      </w:pPr>
      <w:r>
        <w:rPr>
          <w:rFonts w:cstheme="minorHAnsi"/>
          <w:color w:val="004386"/>
        </w:rPr>
        <w:t>How does school</w:t>
      </w:r>
      <w:r w:rsidR="00301135">
        <w:rPr>
          <w:rFonts w:cstheme="minorHAnsi"/>
          <w:color w:val="004386"/>
        </w:rPr>
        <w:t>-</w:t>
      </w:r>
      <w:r>
        <w:rPr>
          <w:rFonts w:cstheme="minorHAnsi"/>
          <w:color w:val="004386"/>
        </w:rPr>
        <w:t>level spending vary within districts and across the state relative to student need?</w:t>
      </w:r>
    </w:p>
    <w:p w14:paraId="0D95AE92" w14:textId="7FEE6879" w:rsidR="008026D6" w:rsidRDefault="008026D6" w:rsidP="008E6267">
      <w:pPr>
        <w:pStyle w:val="ListParagraph"/>
        <w:numPr>
          <w:ilvl w:val="0"/>
          <w:numId w:val="14"/>
        </w:numPr>
        <w:spacing w:after="120"/>
        <w:rPr>
          <w:rFonts w:cstheme="minorHAnsi"/>
          <w:color w:val="004386"/>
        </w:rPr>
      </w:pPr>
      <w:r>
        <w:rPr>
          <w:rFonts w:cstheme="minorHAnsi"/>
          <w:color w:val="004386"/>
        </w:rPr>
        <w:t>How should educators and the public fairly compare school spending levels?</w:t>
      </w:r>
    </w:p>
    <w:p w14:paraId="436F098E" w14:textId="782AEA9B" w:rsidR="008F06DD" w:rsidRPr="008F06DD" w:rsidRDefault="008F06DD" w:rsidP="008F06DD">
      <w:pPr>
        <w:pStyle w:val="ListParagraph"/>
        <w:spacing w:after="120"/>
        <w:rPr>
          <w:rFonts w:cstheme="minorHAnsi"/>
          <w:color w:val="004386"/>
          <w:sz w:val="8"/>
        </w:rPr>
      </w:pPr>
      <w:r w:rsidRPr="004B4476">
        <w:rPr>
          <w:noProof/>
        </w:rPr>
        <mc:AlternateContent>
          <mc:Choice Requires="wps">
            <w:drawing>
              <wp:anchor distT="45720" distB="45720" distL="114300" distR="114300" simplePos="0" relativeHeight="251659264" behindDoc="1" locked="0" layoutInCell="1" allowOverlap="1" wp14:anchorId="479ED249" wp14:editId="4494C715">
                <wp:simplePos x="0" y="0"/>
                <wp:positionH relativeFrom="margin">
                  <wp:posOffset>-53439</wp:posOffset>
                </wp:positionH>
                <wp:positionV relativeFrom="paragraph">
                  <wp:posOffset>64572</wp:posOffset>
                </wp:positionV>
                <wp:extent cx="6953250" cy="6745184"/>
                <wp:effectExtent l="0" t="0" r="19050" b="17780"/>
                <wp:wrapNone/>
                <wp:docPr id="217" name="Text Box 2" descr="This is a text box listing the key findings of the re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6745184"/>
                        </a:xfrm>
                        <a:prstGeom prst="rect">
                          <a:avLst/>
                        </a:prstGeom>
                        <a:solidFill>
                          <a:srgbClr val="FBF1E6"/>
                        </a:solidFill>
                        <a:ln w="15875">
                          <a:solidFill>
                            <a:srgbClr val="F3CEA6"/>
                          </a:solidFill>
                          <a:prstDash val="sysDash"/>
                          <a:miter lim="800000"/>
                          <a:headEnd/>
                          <a:tailEnd/>
                        </a:ln>
                      </wps:spPr>
                      <wps:txbx>
                        <w:txbxContent>
                          <w:p w14:paraId="147AAFB4" w14:textId="0035CE7D" w:rsidR="004E1A55" w:rsidRDefault="004E1A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ED249" id="_x0000_s1029" type="#_x0000_t202" alt="This is a text box listing the key findings of the report" style="position:absolute;left:0;text-align:left;margin-left:-4.2pt;margin-top:5.1pt;width:547.5pt;height:531.1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" fillcolor="#fbf1e6" strokecolor="#f3cea6" strokeweight="1.25pt">
                <v:stroke dashstyle="3 1"/>
                <v:textbox>
                  <w:txbxContent>
                    <w:p w14:paraId="147AAFB4" w14:textId="0035CE7D" w:rsidR="004E1A55" w:rsidRDefault="004E1A55"/>
                  </w:txbxContent>
                </v:textbox>
                <w10:wrap anchorx="margin"/>
              </v:shape>
            </w:pict>
          </mc:Fallback>
        </mc:AlternateContent>
      </w:r>
    </w:p>
    <w:p w14:paraId="3D9C7AC9" w14:textId="2B28956C" w:rsidR="00DB7E05" w:rsidRPr="000F598F" w:rsidRDefault="00DB0755" w:rsidP="007D69D3">
      <w:pPr>
        <w:pBdr>
          <w:bottom w:val="single" w:sz="12" w:space="1" w:color="004386"/>
        </w:pBdr>
        <w:spacing w:after="200"/>
        <w:rPr>
          <w:rFonts w:ascii="Georgia" w:hAnsi="Georgia" w:cs="Times New Roman"/>
          <w:b/>
          <w:color w:val="004386"/>
          <w:sz w:val="26"/>
          <w:szCs w:val="26"/>
        </w:rPr>
      </w:pPr>
      <w:r>
        <w:rPr>
          <w:rFonts w:ascii="Georgia" w:hAnsi="Georgia" w:cs="Times New Roman"/>
          <w:b/>
          <w:color w:val="004386"/>
          <w:sz w:val="26"/>
          <w:szCs w:val="26"/>
        </w:rPr>
        <w:t xml:space="preserve">Key Findings </w:t>
      </w:r>
      <w:r w:rsidR="00301135">
        <w:rPr>
          <w:rFonts w:ascii="Georgia" w:hAnsi="Georgia" w:cs="Times New Roman"/>
          <w:b/>
          <w:color w:val="004386"/>
          <w:sz w:val="26"/>
          <w:szCs w:val="26"/>
        </w:rPr>
        <w:t>a</w:t>
      </w:r>
      <w:r>
        <w:rPr>
          <w:rFonts w:ascii="Georgia" w:hAnsi="Georgia" w:cs="Times New Roman"/>
          <w:b/>
          <w:color w:val="004386"/>
          <w:sz w:val="26"/>
          <w:szCs w:val="26"/>
        </w:rPr>
        <w:t xml:space="preserve">bout </w:t>
      </w:r>
      <w:r w:rsidR="007F3523">
        <w:rPr>
          <w:rFonts w:ascii="Georgia" w:hAnsi="Georgia" w:cs="Times New Roman"/>
          <w:b/>
          <w:color w:val="004386"/>
          <w:sz w:val="26"/>
          <w:szCs w:val="26"/>
        </w:rPr>
        <w:t>School</w:t>
      </w:r>
      <w:r w:rsidR="00301135">
        <w:rPr>
          <w:rFonts w:ascii="Georgia" w:hAnsi="Georgia" w:cs="Times New Roman"/>
          <w:b/>
          <w:color w:val="004386"/>
          <w:sz w:val="26"/>
          <w:szCs w:val="26"/>
        </w:rPr>
        <w:t>-</w:t>
      </w:r>
      <w:r w:rsidR="007F3523">
        <w:rPr>
          <w:rFonts w:ascii="Georgia" w:hAnsi="Georgia" w:cs="Times New Roman"/>
          <w:b/>
          <w:color w:val="004386"/>
          <w:sz w:val="26"/>
          <w:szCs w:val="26"/>
        </w:rPr>
        <w:t>Level Expenditures</w:t>
      </w:r>
    </w:p>
    <w:p w14:paraId="28105A7D" w14:textId="1FC58FA6" w:rsidR="002B54CD" w:rsidRPr="00F7149A" w:rsidRDefault="002B54CD" w:rsidP="007D69D3">
      <w:pPr>
        <w:spacing w:after="200"/>
        <w:rPr>
          <w:vertAlign w:val="superscript"/>
        </w:rPr>
      </w:pPr>
      <w:r>
        <w:t>Massachusetts public elementary and secondary schools spent $16.2 billion in the 2017–18 school year across local, state, and federal funding sources.</w:t>
      </w:r>
      <w:r>
        <w:rPr>
          <w:rStyle w:val="FootnoteReference"/>
        </w:rPr>
        <w:footnoteReference w:id="1"/>
      </w:r>
      <w:r>
        <w:t xml:space="preserve"> Schools vary substantially in how much they spend per pupil. Most schools spend between $12,000 and $18,000 per pupil, though some schools, especially vocational high schools, spend substantially more.</w:t>
      </w:r>
      <w:r w:rsidR="00F7149A">
        <w:rPr>
          <w:vertAlign w:val="superscript"/>
        </w:rPr>
        <w:t>3</w:t>
      </w:r>
    </w:p>
    <w:p w14:paraId="166C45D4" w14:textId="77777777" w:rsidR="002B54CD" w:rsidRPr="002B54CD" w:rsidRDefault="002B54CD" w:rsidP="007D69D3">
      <w:pPr>
        <w:spacing w:after="120"/>
        <w:rPr>
          <w:b/>
        </w:rPr>
      </w:pPr>
      <w:r w:rsidRPr="002B54CD">
        <w:rPr>
          <w:b/>
        </w:rPr>
        <w:t>In this brief, we highlight findings from the research literature on school funding:</w:t>
      </w:r>
    </w:p>
    <w:p w14:paraId="52BF9661" w14:textId="77777777" w:rsidR="002B54CD" w:rsidRDefault="002B54CD" w:rsidP="007D69D3">
      <w:pPr>
        <w:pStyle w:val="ListParagraph"/>
        <w:numPr>
          <w:ilvl w:val="0"/>
          <w:numId w:val="40"/>
        </w:numPr>
        <w:spacing w:after="120"/>
        <w:contextualSpacing w:val="0"/>
      </w:pPr>
      <w:r>
        <w:t>Recent national evidence, based on district spending data, shows that education expenditures matter for student outcomes.</w:t>
      </w:r>
    </w:p>
    <w:p w14:paraId="1AF8E234" w14:textId="77777777" w:rsidR="002B54CD" w:rsidRPr="0007389F" w:rsidRDefault="002B54CD" w:rsidP="007D69D3">
      <w:pPr>
        <w:pStyle w:val="ListParagraph"/>
        <w:numPr>
          <w:ilvl w:val="0"/>
          <w:numId w:val="39"/>
        </w:numPr>
        <w:spacing w:after="120"/>
        <w:contextualSpacing w:val="0"/>
        <w:rPr>
          <w:bCs/>
        </w:rPr>
      </w:pPr>
      <w:r>
        <w:rPr>
          <w:bCs/>
        </w:rPr>
        <w:t>S</w:t>
      </w:r>
      <w:r w:rsidRPr="000F439D">
        <w:rPr>
          <w:bCs/>
        </w:rPr>
        <w:t xml:space="preserve">tudies of school-level spending indicate that, on average, </w:t>
      </w:r>
      <w:r>
        <w:rPr>
          <w:bCs/>
        </w:rPr>
        <w:t xml:space="preserve">schools with higher shares of </w:t>
      </w:r>
      <w:r w:rsidRPr="000F439D">
        <w:rPr>
          <w:bCs/>
        </w:rPr>
        <w:t>high</w:t>
      </w:r>
      <w:r>
        <w:rPr>
          <w:bCs/>
        </w:rPr>
        <w:t>-</w:t>
      </w:r>
      <w:r w:rsidRPr="000F439D">
        <w:rPr>
          <w:bCs/>
        </w:rPr>
        <w:t xml:space="preserve">need students tend to </w:t>
      </w:r>
      <w:r>
        <w:rPr>
          <w:bCs/>
        </w:rPr>
        <w:t>spend as much as</w:t>
      </w:r>
      <w:r w:rsidRPr="000F439D">
        <w:rPr>
          <w:bCs/>
        </w:rPr>
        <w:t>, or slightly more than</w:t>
      </w:r>
      <w:r>
        <w:rPr>
          <w:bCs/>
        </w:rPr>
        <w:t>,</w:t>
      </w:r>
      <w:r w:rsidRPr="000F439D">
        <w:rPr>
          <w:bCs/>
        </w:rPr>
        <w:t xml:space="preserve"> </w:t>
      </w:r>
      <w:r>
        <w:rPr>
          <w:bCs/>
        </w:rPr>
        <w:t>schools with lower shares of high-need students</w:t>
      </w:r>
      <w:r w:rsidRPr="000F439D">
        <w:rPr>
          <w:bCs/>
        </w:rPr>
        <w:t xml:space="preserve">. </w:t>
      </w:r>
    </w:p>
    <w:p w14:paraId="590AABFF" w14:textId="1B26D894" w:rsidR="002B54CD" w:rsidRPr="002B54CD" w:rsidRDefault="002B54CD" w:rsidP="007D69D3">
      <w:pPr>
        <w:pStyle w:val="NoSpacing"/>
        <w:spacing w:line="259" w:lineRule="auto"/>
        <w:rPr>
          <w:rFonts w:ascii="Times New Roman" w:hAnsi="Times New Roman"/>
          <w:b/>
          <w:sz w:val="24"/>
          <w:szCs w:val="24"/>
        </w:rPr>
      </w:pPr>
      <w:r w:rsidRPr="002B54CD">
        <w:rPr>
          <w:rFonts w:eastAsiaTheme="minorEastAsia" w:cstheme="minorBidi"/>
          <w:b/>
          <w:color w:val="auto"/>
          <w:szCs w:val="24"/>
        </w:rPr>
        <w:t xml:space="preserve">We assess how Massachusetts schools spend </w:t>
      </w:r>
      <w:r w:rsidR="00C92968">
        <w:rPr>
          <w:rFonts w:eastAsiaTheme="minorEastAsia" w:cstheme="minorBidi"/>
          <w:b/>
          <w:color w:val="auto"/>
          <w:szCs w:val="24"/>
        </w:rPr>
        <w:t>available funds</w:t>
      </w:r>
      <w:r w:rsidRPr="002B54CD">
        <w:rPr>
          <w:rFonts w:eastAsiaTheme="minorEastAsia" w:cstheme="minorBidi"/>
          <w:b/>
          <w:color w:val="auto"/>
          <w:szCs w:val="24"/>
        </w:rPr>
        <w:t xml:space="preserve"> relative to student needs:</w:t>
      </w:r>
    </w:p>
    <w:p w14:paraId="09753DF1" w14:textId="095C2CE8" w:rsidR="002B54CD" w:rsidRPr="00186AF6" w:rsidRDefault="002B54CD" w:rsidP="007D69D3">
      <w:pPr>
        <w:pStyle w:val="ListParagraph"/>
        <w:numPr>
          <w:ilvl w:val="0"/>
          <w:numId w:val="39"/>
        </w:numPr>
        <w:spacing w:after="120"/>
        <w:contextualSpacing w:val="0"/>
        <w:rPr>
          <w:bCs/>
        </w:rPr>
      </w:pPr>
      <w:r>
        <w:t xml:space="preserve">Massachusetts allocates state education aid based on </w:t>
      </w:r>
      <w:r w:rsidR="00695E85">
        <w:t xml:space="preserve">student needs, community wealth, and </w:t>
      </w:r>
      <w:r>
        <w:t>local labor costs</w:t>
      </w:r>
      <w:r w:rsidR="00695E85">
        <w:t>.</w:t>
      </w:r>
      <w:r>
        <w:t xml:space="preserve"> Although the formula allocates more state money to districts and students with greater need, districts can use local funds to spend more than what is required. </w:t>
      </w:r>
    </w:p>
    <w:p w14:paraId="71D5F408" w14:textId="171199CB" w:rsidR="002B54CD" w:rsidRPr="005A3A5E" w:rsidRDefault="002B54CD" w:rsidP="007D69D3">
      <w:pPr>
        <w:pStyle w:val="ListParagraph"/>
        <w:numPr>
          <w:ilvl w:val="0"/>
          <w:numId w:val="39"/>
        </w:numPr>
        <w:spacing w:after="120"/>
        <w:contextualSpacing w:val="0"/>
        <w:rPr>
          <w:bCs/>
        </w:rPr>
      </w:pPr>
      <w:r w:rsidRPr="003A0B20">
        <w:t>Across the state</w:t>
      </w:r>
      <w:r>
        <w:t>,</w:t>
      </w:r>
      <w:r w:rsidRPr="003A0B20">
        <w:t xml:space="preserve"> high schools </w:t>
      </w:r>
      <w:r>
        <w:t xml:space="preserve">tend to </w:t>
      </w:r>
      <w:r w:rsidRPr="003A0B20">
        <w:t xml:space="preserve">spend more </w:t>
      </w:r>
      <w:r w:rsidR="00803B17">
        <w:t xml:space="preserve">per pupil </w:t>
      </w:r>
      <w:r w:rsidRPr="003A0B20">
        <w:t>than elementary and middle schools</w:t>
      </w:r>
      <w:r>
        <w:t>.</w:t>
      </w:r>
    </w:p>
    <w:p w14:paraId="37FFBA90" w14:textId="77777777" w:rsidR="002B54CD" w:rsidRPr="005A3A5E" w:rsidRDefault="002B54CD" w:rsidP="007D69D3">
      <w:pPr>
        <w:pStyle w:val="ListParagraph"/>
        <w:numPr>
          <w:ilvl w:val="0"/>
          <w:numId w:val="39"/>
        </w:numPr>
        <w:spacing w:after="120"/>
        <w:contextualSpacing w:val="0"/>
        <w:rPr>
          <w:bCs/>
        </w:rPr>
      </w:pPr>
      <w:r>
        <w:t>To fairly compare schools with different kinds of student needs requires looking at all three high-need subgroups (economically disadvantaged pupils, pupils with disabilities, and English learners) simultaneously.</w:t>
      </w:r>
    </w:p>
    <w:p w14:paraId="68A4F044" w14:textId="79AE6769" w:rsidR="002B54CD" w:rsidRDefault="002B54CD" w:rsidP="007D69D3">
      <w:pPr>
        <w:pStyle w:val="ListParagraph"/>
        <w:numPr>
          <w:ilvl w:val="0"/>
          <w:numId w:val="39"/>
        </w:numPr>
        <w:spacing w:after="120"/>
        <w:contextualSpacing w:val="0"/>
        <w:rPr>
          <w:bCs/>
        </w:rPr>
      </w:pPr>
      <w:r w:rsidRPr="003A0B20">
        <w:rPr>
          <w:bCs/>
        </w:rPr>
        <w:t xml:space="preserve">Within districts, schools with higher shares of economically disadvantaged pupils, </w:t>
      </w:r>
      <w:r>
        <w:rPr>
          <w:bCs/>
        </w:rPr>
        <w:t>pupils</w:t>
      </w:r>
      <w:r w:rsidRPr="003A0B20">
        <w:rPr>
          <w:bCs/>
        </w:rPr>
        <w:t xml:space="preserve"> with disabilities, and English learners spend more per pupil</w:t>
      </w:r>
      <w:r>
        <w:rPr>
          <w:bCs/>
        </w:rPr>
        <w:t>.</w:t>
      </w:r>
    </w:p>
    <w:p w14:paraId="53F0190E" w14:textId="77777777" w:rsidR="00903656" w:rsidRPr="00F7149A" w:rsidRDefault="00903656" w:rsidP="00903656">
      <w:pPr>
        <w:pStyle w:val="ListParagraph"/>
        <w:keepNext/>
        <w:keepLines/>
        <w:numPr>
          <w:ilvl w:val="0"/>
          <w:numId w:val="39"/>
        </w:numPr>
        <w:spacing w:after="200"/>
        <w:outlineLvl w:val="2"/>
        <w:rPr>
          <w:bCs/>
        </w:rPr>
      </w:pPr>
      <w:r w:rsidRPr="00F7149A">
        <w:rPr>
          <w:bCs/>
        </w:rPr>
        <w:t>Across the state, schools with higher shares of economically disadvantaged students spend less per pupil, unless we account for local labor costs.</w:t>
      </w:r>
    </w:p>
    <w:p w14:paraId="6BD073C5" w14:textId="76965222" w:rsidR="00CA1DA6" w:rsidRDefault="002B54CD" w:rsidP="007D69D3">
      <w:pPr>
        <w:spacing w:after="200"/>
      </w:pPr>
      <w:r w:rsidRPr="002B54CD">
        <w:rPr>
          <w:b/>
        </w:rPr>
        <w:t xml:space="preserve">Finally, we provide questions for district and community members to ask as they consider how to use and interpret these numbers. </w:t>
      </w:r>
      <w:r>
        <w:t>By asking questions about funding sources, the district’s geographical context, and the choices the district may or may not be able to make in terms of distributing dollars to schools, families and administrators learn more about school spending in their district. Over time, local leaders can develop</w:t>
      </w:r>
      <w:r w:rsidRPr="0007389F">
        <w:t xml:space="preserve"> </w:t>
      </w:r>
      <w:r>
        <w:t>a fuller understand what drives school-level spending, allowing them to make more informed choices.</w:t>
      </w:r>
    </w:p>
    <w:p w14:paraId="7FD9E4A6" w14:textId="07941AB4" w:rsidR="00B61162" w:rsidRPr="004D0DD1" w:rsidRDefault="00B61162" w:rsidP="007D69D3">
      <w:pPr>
        <w:spacing w:after="200"/>
        <w:rPr>
          <w:i/>
        </w:rPr>
      </w:pPr>
      <w:r w:rsidRPr="004D0DD1">
        <w:rPr>
          <w:i/>
        </w:rPr>
        <w:t>We note that this brief does not address questions such as how much additional spending meets student needs in the variety of circumstances found in districts, nor what may allow similar districts to spend similar amounts and ha</w:t>
      </w:r>
      <w:r w:rsidR="00253C74" w:rsidRPr="00253C74">
        <w:rPr>
          <w:i/>
        </w:rPr>
        <w:t>ve different impacts on student</w:t>
      </w:r>
      <w:r w:rsidRPr="004D0DD1">
        <w:rPr>
          <w:i/>
        </w:rPr>
        <w:t xml:space="preserve"> learning.</w:t>
      </w:r>
    </w:p>
    <w:p w14:paraId="3AD9443E" w14:textId="295B426A" w:rsidR="00B61162" w:rsidRDefault="00B61162" w:rsidP="007D69D3">
      <w:pPr>
        <w:spacing w:after="200"/>
      </w:pPr>
    </w:p>
    <w:p w14:paraId="2D0F9E72" w14:textId="77777777" w:rsidR="00B61162" w:rsidRDefault="00B61162" w:rsidP="007D69D3">
      <w:pPr>
        <w:spacing w:after="200"/>
        <w:rPr>
          <w:rFonts w:ascii="Georgia" w:hAnsi="Georgia" w:cs="Times New Roman"/>
          <w:b/>
          <w:color w:val="004386"/>
          <w:sz w:val="26"/>
          <w:szCs w:val="26"/>
        </w:rPr>
        <w:sectPr w:rsidR="00B61162" w:rsidSect="00224B13">
          <w:footnotePr>
            <w:numStart w:val="2"/>
          </w:footnotePr>
          <w:type w:val="continuous"/>
          <w:pgSz w:w="12240" w:h="15840"/>
          <w:pgMar w:top="720" w:right="720" w:bottom="720" w:left="720" w:header="720" w:footer="720" w:gutter="0"/>
          <w:cols w:space="720"/>
          <w:docGrid w:linePitch="360"/>
        </w:sectPr>
      </w:pPr>
    </w:p>
    <w:p w14:paraId="7E75AF02" w14:textId="3EB00458" w:rsidR="00DC741D" w:rsidRPr="0027550C" w:rsidRDefault="002B54CD" w:rsidP="007D69D3">
      <w:pPr>
        <w:pStyle w:val="Heading2"/>
        <w:spacing w:before="0" w:after="200"/>
      </w:pPr>
      <w:r>
        <w:t>How much does Massachusetts spend on its schools?</w:t>
      </w:r>
    </w:p>
    <w:p w14:paraId="20DF3769" w14:textId="058FD851" w:rsidR="002B54CD" w:rsidRDefault="002B54CD" w:rsidP="007D69D3">
      <w:pPr>
        <w:spacing w:after="200"/>
      </w:pPr>
      <w:r>
        <w:t>In fiscal year 2018, Massachusetts districts spent $14.4 billion for district schools, and another $1.8 billion on out-of-district programs, for roughly 987,000 pupils.</w:t>
      </w:r>
      <w:r>
        <w:rPr>
          <w:rStyle w:val="FootnoteReference"/>
        </w:rPr>
        <w:footnoteReference w:id="2"/>
      </w:r>
      <w:r>
        <w:t xml:space="preserve"> This spending includes all local, state, and federal funding sources.</w:t>
      </w:r>
    </w:p>
    <w:p w14:paraId="2E5D67D9" w14:textId="31C09DA4" w:rsidR="002B54CD" w:rsidRDefault="002B54CD" w:rsidP="007D69D3">
      <w:pPr>
        <w:spacing w:after="200"/>
      </w:pPr>
      <w:r>
        <w:t xml:space="preserve">Massachusetts school districts report school-level expenditures for instructional expenses such as school leadership, teachers, and instructional materials. But administrative and operations costs (e.g., district administration, facilities, and benefits) are reported at the district level. To incorporate district-level services into a measure of school-level expenditures, the Department of Elementary and Secondary Education allocates district-level spending equally per pupil across all the district’s schools. These school-level expenditure </w:t>
      </w:r>
      <w:r>
        <w:t xml:space="preserve">data are different than school committee–approved budgets. The school-level expenditure data capture actual spending for the year and include expenditures at the district level, as well as from all funding sources. For our analyses, we look at total actual spending only at traditional public schools and school districts (we exclude charter schools). More information on our approach is available in the methodology appendix.  </w:t>
      </w:r>
    </w:p>
    <w:p w14:paraId="3E3E6B7A" w14:textId="5C7519C2" w:rsidR="008E6267" w:rsidRDefault="002B54CD" w:rsidP="007D69D3">
      <w:pPr>
        <w:spacing w:after="200"/>
      </w:pPr>
      <w:r w:rsidRPr="000A7660">
        <w:t xml:space="preserve">Across Massachusetts schools, spending </w:t>
      </w:r>
      <w:r>
        <w:t>ranges</w:t>
      </w:r>
      <w:r w:rsidRPr="000A7660">
        <w:t xml:space="preserve"> from about $7,300 to $38,400 per pupil. This variation could be due to many factors, such as grade span served, the needs of students enrolled in the school, </w:t>
      </w:r>
      <w:r>
        <w:t xml:space="preserve">specialized programming within a school, </w:t>
      </w:r>
      <w:r w:rsidRPr="000A7660">
        <w:t xml:space="preserve">and the community the school is in. Despite this variation, </w:t>
      </w:r>
      <w:r>
        <w:t>roughly three-quarters of schools</w:t>
      </w:r>
      <w:r w:rsidRPr="000A7660">
        <w:t xml:space="preserve"> in Massachusetts spend between $12,000 and $18,000 per pupil </w:t>
      </w:r>
      <w:r w:rsidRPr="000562FD">
        <w:rPr>
          <w:b/>
        </w:rPr>
        <w:t>(figure 1</w:t>
      </w:r>
      <w:r w:rsidRPr="00016418">
        <w:rPr>
          <w:b/>
        </w:rPr>
        <w:t>)</w:t>
      </w:r>
      <w:r>
        <w:t xml:space="preserve">. </w:t>
      </w:r>
    </w:p>
    <w:p w14:paraId="136A2150" w14:textId="77777777" w:rsidR="008E6267" w:rsidRDefault="008E6267" w:rsidP="007D69D3">
      <w:pPr>
        <w:spacing w:after="200"/>
      </w:pPr>
    </w:p>
    <w:p w14:paraId="2CB544F0" w14:textId="77777777" w:rsidR="002B54CD" w:rsidRDefault="002B54CD" w:rsidP="007D69D3">
      <w:pPr>
        <w:spacing w:after="200"/>
        <w:sectPr w:rsidR="002B54CD" w:rsidSect="007803CC">
          <w:footnotePr>
            <w:numStart w:val="3"/>
          </w:footnotePr>
          <w:type w:val="continuous"/>
          <w:pgSz w:w="12240" w:h="15840"/>
          <w:pgMar w:top="720" w:right="720" w:bottom="720" w:left="720" w:header="720" w:footer="720" w:gutter="0"/>
          <w:cols w:num="2" w:space="720"/>
          <w:docGrid w:linePitch="360"/>
        </w:sectPr>
      </w:pPr>
    </w:p>
    <w:p w14:paraId="26A3F7F9" w14:textId="77777777" w:rsidR="00A577C2" w:rsidRDefault="00A577C2" w:rsidP="00A577C2">
      <w:pPr>
        <w:spacing w:after="0"/>
        <w:rPr>
          <w:rFonts w:cstheme="minorHAnsi"/>
          <w:b/>
        </w:rPr>
      </w:pPr>
    </w:p>
    <w:p w14:paraId="12BAA147" w14:textId="2940B30E" w:rsidR="008E6267" w:rsidRDefault="002B54CD" w:rsidP="007D69D3">
      <w:pPr>
        <w:spacing w:after="200"/>
        <w:rPr>
          <w:noProof/>
        </w:rPr>
      </w:pPr>
      <w:r w:rsidRPr="009237B9">
        <w:rPr>
          <w:rFonts w:cstheme="minorHAnsi"/>
          <w:b/>
        </w:rPr>
        <w:t>Figure 1.  Most schools in Massachusetts spent between $12,000 and $18,000 per pupil in 2017</w:t>
      </w:r>
      <w:r w:rsidR="00301135">
        <w:rPr>
          <w:rFonts w:cstheme="minorHAnsi"/>
          <w:b/>
        </w:rPr>
        <w:t>–</w:t>
      </w:r>
      <w:r w:rsidRPr="009237B9">
        <w:rPr>
          <w:rFonts w:cstheme="minorHAnsi"/>
          <w:b/>
        </w:rPr>
        <w:t>18; the median amount spen</w:t>
      </w:r>
      <w:r w:rsidR="00301135">
        <w:rPr>
          <w:rFonts w:cstheme="minorHAnsi"/>
          <w:b/>
        </w:rPr>
        <w:t>t</w:t>
      </w:r>
      <w:r w:rsidRPr="009237B9">
        <w:rPr>
          <w:rFonts w:cstheme="minorHAnsi"/>
          <w:b/>
        </w:rPr>
        <w:t xml:space="preserve"> per pupil was $14,738</w:t>
      </w:r>
      <w:r w:rsidR="008E6267" w:rsidRPr="008E6267">
        <w:rPr>
          <w:noProof/>
        </w:rPr>
        <w:t xml:space="preserve"> </w:t>
      </w:r>
    </w:p>
    <w:p w14:paraId="3221DB48" w14:textId="7108DBFB" w:rsidR="00621E7E" w:rsidRDefault="00621E7E" w:rsidP="00621E7E">
      <w:pPr>
        <w:spacing w:after="200"/>
        <w:jc w:val="center"/>
        <w:rPr>
          <w:noProof/>
        </w:rPr>
      </w:pPr>
      <w:r>
        <w:rPr>
          <w:noProof/>
        </w:rPr>
        <w:drawing>
          <wp:inline distT="0" distB="0" distL="0" distR="0" wp14:anchorId="1352A8F9" wp14:editId="0C5216B3">
            <wp:extent cx="5488485" cy="3040084"/>
            <wp:effectExtent l="0" t="0" r="0" b="8255"/>
            <wp:docPr id="15" name="Picture 15" descr="Figure 1: This is a bar graph showing the per pupil spending amounts of each public school in Massachusetts, highlighting the median ($14,738 per pupil) and average ($15,651 per pupil) spending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743" cy="3046320"/>
                    </a:xfrm>
                    <a:prstGeom prst="rect">
                      <a:avLst/>
                    </a:prstGeom>
                    <a:noFill/>
                  </pic:spPr>
                </pic:pic>
              </a:graphicData>
            </a:graphic>
          </wp:inline>
        </w:drawing>
      </w:r>
    </w:p>
    <w:p w14:paraId="13F2CF6C" w14:textId="4F5E85EB" w:rsidR="0042501C" w:rsidRPr="005831AB" w:rsidRDefault="0042501C" w:rsidP="007D69D3">
      <w:pPr>
        <w:spacing w:after="200"/>
        <w:rPr>
          <w:rFonts w:cstheme="minorHAnsi"/>
        </w:rPr>
      </w:pPr>
    </w:p>
    <w:p w14:paraId="2759D55A" w14:textId="77777777" w:rsidR="00CA1DA6" w:rsidRDefault="00CA1DA6" w:rsidP="007D69D3">
      <w:pPr>
        <w:spacing w:after="200"/>
        <w:rPr>
          <w:rFonts w:cstheme="minorHAnsi"/>
          <w:b/>
        </w:rPr>
        <w:sectPr w:rsidR="00CA1DA6" w:rsidSect="002B54CD">
          <w:type w:val="continuous"/>
          <w:pgSz w:w="12240" w:h="15840"/>
          <w:pgMar w:top="720" w:right="720" w:bottom="720" w:left="720" w:header="720" w:footer="720" w:gutter="0"/>
          <w:cols w:space="720"/>
          <w:docGrid w:linePitch="360"/>
        </w:sectPr>
      </w:pPr>
    </w:p>
    <w:p w14:paraId="70C96F92" w14:textId="66088C5F" w:rsidR="006502F8" w:rsidRDefault="009237B9" w:rsidP="007D69D3">
      <w:pPr>
        <w:pStyle w:val="Heading2"/>
        <w:spacing w:before="0" w:after="200"/>
      </w:pPr>
      <w:r>
        <w:t>What does previous research tell us about district- and school-level spending</w:t>
      </w:r>
      <w:r w:rsidR="006502F8">
        <w:t>?</w:t>
      </w:r>
    </w:p>
    <w:p w14:paraId="03A2CECF" w14:textId="54478FDD" w:rsidR="00C46280" w:rsidRPr="00E2482A" w:rsidRDefault="009237B9" w:rsidP="007D69D3">
      <w:pPr>
        <w:pStyle w:val="Heading3"/>
        <w:spacing w:after="200" w:line="259" w:lineRule="auto"/>
      </w:pPr>
      <w:r>
        <w:t>Recent evidence based on district spending data shows that education expenditures matter for student outcomes.</w:t>
      </w:r>
    </w:p>
    <w:p w14:paraId="3EC48B71" w14:textId="35CB06BC" w:rsidR="009237B9" w:rsidRDefault="009237B9" w:rsidP="007D69D3">
      <w:pPr>
        <w:spacing w:after="200"/>
      </w:pPr>
      <w:r>
        <w:t xml:space="preserve">Increased education spending is </w:t>
      </w:r>
      <w:r w:rsidRPr="00837B46">
        <w:t>associated</w:t>
      </w:r>
      <w:r>
        <w:t xml:space="preserve"> with increased student test score performance (</w:t>
      </w:r>
      <w:proofErr w:type="spellStart"/>
      <w:r>
        <w:t>Lafortune</w:t>
      </w:r>
      <w:proofErr w:type="spellEnd"/>
      <w:r>
        <w:t xml:space="preserve">, Rothstein, and </w:t>
      </w:r>
      <w:proofErr w:type="spellStart"/>
      <w:r w:rsidR="003D704D">
        <w:t>Schanzenbach</w:t>
      </w:r>
      <w:proofErr w:type="spellEnd"/>
      <w:r w:rsidR="003D704D">
        <w:t xml:space="preserve"> </w:t>
      </w:r>
      <w:r>
        <w:t>2018), graduation rates (Candelaria and Shores 2017), postsecondary enrollment (Hyman 2017), and earnings among children from economically disadvantaged families (Chetty and Friedman 2011; Jackson, Johnson, and Persico 2014).</w:t>
      </w:r>
    </w:p>
    <w:p w14:paraId="1526383C" w14:textId="77777777" w:rsidR="009237B9" w:rsidRDefault="009237B9" w:rsidP="007D69D3">
      <w:pPr>
        <w:spacing w:after="200"/>
      </w:pPr>
      <w:r>
        <w:t>Most studies looking at the effects of spending on student outcomes use district-level funding data, but researchers are increasingly looking at school-level spending. Using data from national pilot surveys, researchers have discerned trends in spending at schools within a given district, especially as spending relates to serving students with greater needs.</w:t>
      </w:r>
    </w:p>
    <w:p w14:paraId="76480287" w14:textId="4D195504" w:rsidR="009237B9" w:rsidRDefault="009237B9" w:rsidP="007D69D3">
      <w:pPr>
        <w:spacing w:after="200"/>
      </w:pPr>
      <w:r>
        <w:t xml:space="preserve">One of the biggest drivers of differences in expenditures within a district are the grades a school serves. An analysis of 2008–09 school spending showed elementary schools tend to have lower per student personnel expenditures relative to middle or high schools in the same district (Heuer and </w:t>
      </w:r>
      <w:proofErr w:type="spellStart"/>
      <w:r>
        <w:t>Stullich</w:t>
      </w:r>
      <w:proofErr w:type="spellEnd"/>
      <w:r>
        <w:t xml:space="preserve"> 2011).</w:t>
      </w:r>
    </w:p>
    <w:p w14:paraId="4F189F00" w14:textId="48782AE5" w:rsidR="009237B9" w:rsidRPr="00E2482A" w:rsidRDefault="009237B9" w:rsidP="007D69D3">
      <w:pPr>
        <w:pStyle w:val="Heading3"/>
        <w:spacing w:after="200" w:line="259" w:lineRule="auto"/>
      </w:pPr>
      <w:r>
        <w:t>Studies of school-level spending indicate that, on average, schools with higher shares of high</w:t>
      </w:r>
      <w:r w:rsidR="00301135">
        <w:t>-</w:t>
      </w:r>
      <w:r>
        <w:t>need students tend to spend as much as, or slightly more than, schools with lower shares of high</w:t>
      </w:r>
      <w:r w:rsidR="00301135">
        <w:t>-</w:t>
      </w:r>
      <w:r>
        <w:t>need students.</w:t>
      </w:r>
    </w:p>
    <w:p w14:paraId="7E7A1EB2" w14:textId="77777777" w:rsidR="009237B9" w:rsidRDefault="009237B9" w:rsidP="007D69D3">
      <w:pPr>
        <w:spacing w:after="200"/>
      </w:pPr>
      <w:r>
        <w:t xml:space="preserve">Research suggests that the distribution of dollars to schools within districts tends to be neutral to slightly more equitable, such that schools with higher shares of economically disadvantaged students tend to have higher per student expenditures relative to schools in </w:t>
      </w:r>
      <w:r>
        <w:t>the same district with lower shares of economically disadvantaged students (</w:t>
      </w:r>
      <w:proofErr w:type="spellStart"/>
      <w:r>
        <w:t>Ajwad</w:t>
      </w:r>
      <w:proofErr w:type="spellEnd"/>
      <w:r>
        <w:t xml:space="preserve"> 2006; Knight 2017; </w:t>
      </w:r>
      <w:proofErr w:type="spellStart"/>
      <w:r>
        <w:t>Roza</w:t>
      </w:r>
      <w:proofErr w:type="spellEnd"/>
      <w:r>
        <w:t xml:space="preserve"> et al. 2007). Across the United States, poor and minority students tend to receive, on average, 1 to 2 percent more in school resources than their district peers who are not poor or are white (Shores and </w:t>
      </w:r>
      <w:proofErr w:type="spellStart"/>
      <w:r>
        <w:t>Ejdemyr</w:t>
      </w:r>
      <w:proofErr w:type="spellEnd"/>
      <w:r>
        <w:t xml:space="preserve"> 2017). </w:t>
      </w:r>
    </w:p>
    <w:p w14:paraId="2DF88DFF" w14:textId="77777777" w:rsidR="009237B9" w:rsidRDefault="009237B9" w:rsidP="007D69D3">
      <w:pPr>
        <w:spacing w:after="200"/>
      </w:pPr>
      <w:r>
        <w:t xml:space="preserve">But districts still vary in the degree to which they direct additional dollars to schools with higher levels of disadvantaged students. In the 2008–09 school year, 37 percent of the highest-poverty schools spent less on personnel than the lowest-poverty schools in their district (Heuer and </w:t>
      </w:r>
      <w:proofErr w:type="spellStart"/>
      <w:r>
        <w:t>Stullich</w:t>
      </w:r>
      <w:proofErr w:type="spellEnd"/>
      <w:r>
        <w:t xml:space="preserve"> 2011). And despite increased spending levels generally, schools with higher shares of disadvantaged students still tend to have less-experienced or less-qualified teachers relative to schools with more-advantaged students in their district (Knight 2017; </w:t>
      </w:r>
      <w:proofErr w:type="spellStart"/>
      <w:r>
        <w:t>Malkus</w:t>
      </w:r>
      <w:proofErr w:type="spellEnd"/>
      <w:r>
        <w:t xml:space="preserve"> 2012; Rubenstein et al. 2007).</w:t>
      </w:r>
    </w:p>
    <w:p w14:paraId="3B0A2148" w14:textId="41CD7154" w:rsidR="00B92F0E" w:rsidRPr="005831AB" w:rsidRDefault="00F82049" w:rsidP="007D69D3">
      <w:pPr>
        <w:pStyle w:val="Heading2"/>
        <w:spacing w:after="200"/>
        <w:rPr>
          <w:rFonts w:cstheme="minorHAnsi"/>
        </w:rPr>
      </w:pPr>
      <w:r>
        <w:t>How does Massachusetts allocate state aid for education to districts?</w:t>
      </w:r>
    </w:p>
    <w:p w14:paraId="605B5B9A" w14:textId="2B04C39C" w:rsidR="003B08F2" w:rsidRPr="003F03E2" w:rsidRDefault="00F82049" w:rsidP="007D69D3">
      <w:pPr>
        <w:pStyle w:val="Heading3"/>
        <w:spacing w:after="200" w:line="259" w:lineRule="auto"/>
      </w:pPr>
      <w:r>
        <w:t>Massachusetts allocates state aid based on community wealth and student need.</w:t>
      </w:r>
    </w:p>
    <w:p w14:paraId="501ED48C" w14:textId="77777777" w:rsidR="004C48DB" w:rsidRDefault="00F82049" w:rsidP="007D69D3">
      <w:pPr>
        <w:spacing w:after="200"/>
      </w:pPr>
      <w:r>
        <w:t xml:space="preserve">The state aid to education program, Chapter 70, establishes a foundation, or “adequate,” spending level for each district and defines how much of this spending target should be paid for from either state or local sources. </w:t>
      </w:r>
      <w:r w:rsidR="004C48DB">
        <w:t>Through Chapter 70, the state provides 30 percent of the funds spent on K–12 public education in Massachusetts.</w:t>
      </w:r>
      <w:r w:rsidR="004C48DB">
        <w:rPr>
          <w:rStyle w:val="FootnoteReference"/>
        </w:rPr>
        <w:footnoteReference w:id="3"/>
      </w:r>
      <w:r w:rsidR="004C48DB">
        <w:t xml:space="preserve"> </w:t>
      </w:r>
    </w:p>
    <w:p w14:paraId="73417E38" w14:textId="25EA24F7" w:rsidR="00C67EE6" w:rsidRDefault="00F82049" w:rsidP="007D69D3">
      <w:pPr>
        <w:spacing w:after="200"/>
      </w:pPr>
      <w:r>
        <w:t xml:space="preserve">The </w:t>
      </w:r>
      <w:r w:rsidR="00C67EE6">
        <w:t xml:space="preserve">Chapter 70 </w:t>
      </w:r>
      <w:r>
        <w:t>formula directs more state funding to districts with less fiscal capacity—as measured by property wealth and personal income—and higher student need. The focus of the state formula is to give students adequate and equitable access to educational success.</w:t>
      </w:r>
      <w:r>
        <w:rPr>
          <w:rStyle w:val="FootnoteReference"/>
        </w:rPr>
        <w:footnoteReference w:id="4"/>
      </w:r>
      <w:r>
        <w:t xml:space="preserve"> Thus, the minimum adequate funding level is higher per student in districts that have larger concentrations of students with high needs. </w:t>
      </w:r>
      <w:r w:rsidR="00836278">
        <w:t xml:space="preserve">For </w:t>
      </w:r>
      <w:r w:rsidR="00836278">
        <w:lastRenderedPageBreak/>
        <w:t>example</w:t>
      </w:r>
      <w:r w:rsidR="00FC297C">
        <w:t>,</w:t>
      </w:r>
      <w:r w:rsidR="00FB43EE">
        <w:t xml:space="preserve"> in fiscal year 20</w:t>
      </w:r>
      <w:r w:rsidR="008C5ABC">
        <w:t>18</w:t>
      </w:r>
      <w:r w:rsidR="00FB43EE">
        <w:t xml:space="preserve"> the average foundation budget per pupil for districts in the quartile with the lowest share of </w:t>
      </w:r>
      <w:r w:rsidR="00F501D1">
        <w:t>economically disadvantaged</w:t>
      </w:r>
      <w:r w:rsidR="00836278">
        <w:t xml:space="preserve"> students </w:t>
      </w:r>
      <w:r w:rsidR="00FB43EE">
        <w:t xml:space="preserve">was $9,788, compared to $12,126 </w:t>
      </w:r>
      <w:r w:rsidR="00FC297C">
        <w:t>per pupil for districts</w:t>
      </w:r>
      <w:r w:rsidR="00127292">
        <w:t xml:space="preserve"> in the quartile</w:t>
      </w:r>
      <w:r w:rsidR="00FC297C">
        <w:t xml:space="preserve"> with the highest </w:t>
      </w:r>
      <w:r w:rsidR="00FB43EE">
        <w:t>share</w:t>
      </w:r>
      <w:r w:rsidR="004C48DB">
        <w:t xml:space="preserve"> </w:t>
      </w:r>
      <w:r w:rsidR="004C48DB" w:rsidRPr="00837B46">
        <w:rPr>
          <w:b/>
        </w:rPr>
        <w:t>(figure 4)</w:t>
      </w:r>
      <w:r w:rsidR="00836278">
        <w:t>.</w:t>
      </w:r>
      <w:r w:rsidR="00FB43EE">
        <w:t xml:space="preserve"> </w:t>
      </w:r>
      <w:r w:rsidR="00220675">
        <w:t xml:space="preserve">This difference </w:t>
      </w:r>
      <w:r w:rsidR="008C5ABC">
        <w:t>i</w:t>
      </w:r>
      <w:r w:rsidR="00220675">
        <w:t>s</w:t>
      </w:r>
      <w:r w:rsidR="00302578">
        <w:t xml:space="preserve"> driven by </w:t>
      </w:r>
      <w:r w:rsidR="008C5ABC">
        <w:t xml:space="preserve">the </w:t>
      </w:r>
      <w:r w:rsidR="00220675">
        <w:t>higher</w:t>
      </w:r>
      <w:r w:rsidR="008C5ABC">
        <w:t xml:space="preserve"> incremental rates that these districts receive through the formula.</w:t>
      </w:r>
      <w:r w:rsidR="00220675">
        <w:t xml:space="preserve"> </w:t>
      </w:r>
      <w:r w:rsidR="0087592A">
        <w:t>I</w:t>
      </w:r>
      <w:r w:rsidR="008C5ABC">
        <w:t>n fiscal year 2018</w:t>
      </w:r>
      <w:r w:rsidR="0087592A">
        <w:t>,</w:t>
      </w:r>
      <w:r w:rsidR="008C5ABC">
        <w:t xml:space="preserve"> </w:t>
      </w:r>
      <w:r w:rsidR="00C67EE6">
        <w:t xml:space="preserve">for example, </w:t>
      </w:r>
      <w:r w:rsidR="008C5ABC">
        <w:t xml:space="preserve">the incremental rate </w:t>
      </w:r>
      <w:r w:rsidR="00436CE8">
        <w:t>f</w:t>
      </w:r>
      <w:r w:rsidR="008C5ABC">
        <w:t xml:space="preserve">or </w:t>
      </w:r>
      <w:r w:rsidR="00C67EE6">
        <w:t>economically disadvantaged</w:t>
      </w:r>
      <w:r w:rsidR="008C5ABC">
        <w:t xml:space="preserve"> students</w:t>
      </w:r>
      <w:r w:rsidR="00220675">
        <w:t xml:space="preserve"> range</w:t>
      </w:r>
      <w:r w:rsidR="008C5ABC">
        <w:t>d</w:t>
      </w:r>
      <w:r w:rsidR="00220675">
        <w:t xml:space="preserve"> from</w:t>
      </w:r>
      <w:r w:rsidR="00771FF6">
        <w:t xml:space="preserve"> $</w:t>
      </w:r>
      <w:r w:rsidR="008C5ABC">
        <w:t>3,817 for districts with the lowest concentrations of poverty</w:t>
      </w:r>
      <w:r w:rsidR="0087592A">
        <w:t xml:space="preserve"> </w:t>
      </w:r>
      <w:r w:rsidR="00436CE8">
        <w:t>(</w:t>
      </w:r>
      <w:r w:rsidR="0087592A">
        <w:t xml:space="preserve">less than 9 percent of </w:t>
      </w:r>
      <w:r w:rsidR="001B55A2">
        <w:t xml:space="preserve">district </w:t>
      </w:r>
      <w:r w:rsidR="0087592A">
        <w:t>enrollment</w:t>
      </w:r>
      <w:r w:rsidR="00436CE8">
        <w:t>)</w:t>
      </w:r>
      <w:r w:rsidR="008C5ABC">
        <w:t xml:space="preserve"> to $4,180 for districts with the highest concent</w:t>
      </w:r>
      <w:r w:rsidR="0087592A">
        <w:t>r</w:t>
      </w:r>
      <w:r w:rsidR="008C5ABC">
        <w:t>ations</w:t>
      </w:r>
      <w:r w:rsidR="0087592A">
        <w:t xml:space="preserve"> </w:t>
      </w:r>
      <w:r w:rsidR="00436CE8">
        <w:t>(</w:t>
      </w:r>
      <w:r w:rsidR="0087592A">
        <w:t>47 percent or more</w:t>
      </w:r>
      <w:r w:rsidR="001B55A2">
        <w:t xml:space="preserve"> of district enrollment</w:t>
      </w:r>
      <w:r w:rsidR="00436CE8">
        <w:t>)</w:t>
      </w:r>
      <w:r w:rsidR="008C5ABC">
        <w:t>.</w:t>
      </w:r>
    </w:p>
    <w:p w14:paraId="5EA5FB95" w14:textId="14D96C13" w:rsidR="00F82049" w:rsidRDefault="00F82049" w:rsidP="007D69D3">
      <w:pPr>
        <w:spacing w:after="200"/>
        <w:rPr>
          <w:rFonts w:ascii="Calibri" w:eastAsiaTheme="minorEastAsia" w:hAnsi="Calibri"/>
          <w:szCs w:val="24"/>
        </w:rPr>
      </w:pPr>
      <w:r w:rsidRPr="009001CE">
        <w:rPr>
          <w:rFonts w:ascii="Calibri" w:eastAsiaTheme="minorEastAsia" w:hAnsi="Calibri"/>
          <w:szCs w:val="24"/>
        </w:rPr>
        <w:t>The calculation of adequate funding</w:t>
      </w:r>
      <w:r>
        <w:rPr>
          <w:rFonts w:ascii="Calibri" w:eastAsiaTheme="minorEastAsia" w:hAnsi="Calibri"/>
          <w:szCs w:val="24"/>
        </w:rPr>
        <w:t xml:space="preserve"> levels</w:t>
      </w:r>
      <w:r w:rsidRPr="00FA1ED7">
        <w:rPr>
          <w:rFonts w:ascii="Calibri" w:eastAsiaTheme="minorEastAsia" w:hAnsi="Calibri"/>
          <w:szCs w:val="24"/>
        </w:rPr>
        <w:t xml:space="preserve"> accounts for student characteristics, including students who are </w:t>
      </w:r>
      <w:r w:rsidRPr="00FA1ED7">
        <w:rPr>
          <w:rFonts w:ascii="Calibri" w:eastAsiaTheme="minorEastAsia" w:hAnsi="Calibri"/>
          <w:szCs w:val="24"/>
        </w:rPr>
        <w:t>economically disadvantaged</w:t>
      </w:r>
      <w:r w:rsidRPr="009001CE">
        <w:rPr>
          <w:rFonts w:ascii="Calibri" w:eastAsiaTheme="minorEastAsia" w:hAnsi="Calibri"/>
          <w:szCs w:val="24"/>
        </w:rPr>
        <w:t xml:space="preserve">, students who are English learners, and the </w:t>
      </w:r>
      <w:r>
        <w:rPr>
          <w:rFonts w:ascii="Calibri" w:eastAsiaTheme="minorEastAsia" w:hAnsi="Calibri"/>
          <w:szCs w:val="24"/>
        </w:rPr>
        <w:t>student’s grade</w:t>
      </w:r>
      <w:r w:rsidRPr="009001CE">
        <w:rPr>
          <w:rFonts w:ascii="Calibri" w:eastAsiaTheme="minorEastAsia" w:hAnsi="Calibri"/>
          <w:szCs w:val="24"/>
        </w:rPr>
        <w:t xml:space="preserve"> level. The Chapter 70 formula also provides a base amount for special education services</w:t>
      </w:r>
      <w:r>
        <w:rPr>
          <w:rFonts w:ascii="Calibri" w:eastAsiaTheme="minorEastAsia" w:hAnsi="Calibri"/>
          <w:szCs w:val="24"/>
        </w:rPr>
        <w:t xml:space="preserve">, which </w:t>
      </w:r>
      <w:r w:rsidRPr="009001CE">
        <w:rPr>
          <w:rFonts w:ascii="Calibri" w:eastAsiaTheme="minorEastAsia" w:hAnsi="Calibri"/>
          <w:szCs w:val="24"/>
        </w:rPr>
        <w:t>is supplemented by the state’s special education reimbursement (“circuit breaker”) program for high-cost students</w:t>
      </w:r>
      <w:r>
        <w:rPr>
          <w:rFonts w:ascii="Calibri" w:eastAsiaTheme="minorEastAsia" w:hAnsi="Calibri"/>
          <w:szCs w:val="24"/>
        </w:rPr>
        <w:t>.</w:t>
      </w:r>
    </w:p>
    <w:p w14:paraId="6FBD6E81" w14:textId="39DBF40D" w:rsidR="008F72C9" w:rsidRDefault="00F82049" w:rsidP="007D69D3">
      <w:pPr>
        <w:keepNext/>
        <w:keepLines/>
        <w:spacing w:before="200" w:after="200"/>
        <w:outlineLvl w:val="2"/>
      </w:pPr>
      <w:r>
        <w:t xml:space="preserve">The Chapter 70 formula includes a wage adjustment factor that accounts for differences in the cost of labor across the state. The </w:t>
      </w:r>
      <w:r w:rsidR="00836278">
        <w:t xml:space="preserve">unadjusted </w:t>
      </w:r>
      <w:r>
        <w:t xml:space="preserve">wage adjustment factor varies substantially by town, from 79 percent of the typical statewide labor cost to more than 110 percent of the typical cost, and more generally by region </w:t>
      </w:r>
      <w:r w:rsidRPr="00014FAA">
        <w:rPr>
          <w:b/>
        </w:rPr>
        <w:t>(figure 2)</w:t>
      </w:r>
      <w:r w:rsidR="008F72C9">
        <w:t>.</w:t>
      </w:r>
      <w:r w:rsidR="006919FE">
        <w:rPr>
          <w:rStyle w:val="FootnoteReference"/>
        </w:rPr>
        <w:footnoteReference w:id="5"/>
      </w:r>
    </w:p>
    <w:p w14:paraId="0EC85AED" w14:textId="77777777" w:rsidR="00F82049" w:rsidRDefault="00F82049" w:rsidP="007D69D3">
      <w:pPr>
        <w:keepNext/>
        <w:keepLines/>
        <w:spacing w:before="200" w:after="200"/>
        <w:outlineLvl w:val="2"/>
        <w:sectPr w:rsidR="00F82049" w:rsidSect="00FF44C2">
          <w:footnotePr>
            <w:numStart w:val="3"/>
          </w:footnotePr>
          <w:type w:val="continuous"/>
          <w:pgSz w:w="12240" w:h="15840"/>
          <w:pgMar w:top="720" w:right="720" w:bottom="720" w:left="720" w:header="720" w:footer="720" w:gutter="0"/>
          <w:cols w:num="2" w:space="720"/>
          <w:docGrid w:linePitch="360"/>
          <w15:footnoteColumns w:val="1"/>
        </w:sectPr>
      </w:pPr>
    </w:p>
    <w:p w14:paraId="2D517412" w14:textId="77777777" w:rsidR="00C67EE6" w:rsidRDefault="00C67EE6" w:rsidP="007D69D3">
      <w:pPr>
        <w:keepNext/>
        <w:keepLines/>
        <w:spacing w:before="200" w:after="200"/>
        <w:outlineLvl w:val="2"/>
        <w:rPr>
          <w:b/>
        </w:rPr>
      </w:pPr>
    </w:p>
    <w:p w14:paraId="730F4E5A" w14:textId="02C07B93" w:rsidR="00F82049" w:rsidRPr="00F82049" w:rsidRDefault="00F82049" w:rsidP="007D69D3">
      <w:pPr>
        <w:keepNext/>
        <w:keepLines/>
        <w:spacing w:before="200" w:after="200"/>
        <w:outlineLvl w:val="2"/>
      </w:pPr>
      <w:r w:rsidRPr="00F82049">
        <w:rPr>
          <w:b/>
        </w:rPr>
        <w:t>Figure 2.   Labor market costs vary across Massachusetts by town and by region</w:t>
      </w:r>
      <w:r w:rsidR="00F7149A" w:rsidRPr="00F7149A">
        <w:rPr>
          <w:noProof/>
        </w:rPr>
        <w:t xml:space="preserve"> </w:t>
      </w:r>
      <w:r w:rsidR="00F7149A">
        <w:rPr>
          <w:noProof/>
        </w:rPr>
        <w:drawing>
          <wp:inline distT="0" distB="0" distL="0" distR="0" wp14:anchorId="1654C287" wp14:editId="609B1366">
            <wp:extent cx="6804561" cy="4005870"/>
            <wp:effectExtent l="0" t="0" r="0" b="0"/>
            <wp:docPr id="6" name="Picture 6" descr="Figure 2: This is a city/town map of Massachusetts that color codes each city/town based on their Wage Adjustment Factor as a percent of the state average. The groups shown are:&#10;&#10;103% to 113%&#10;98% to 103%&#10;89% to 98%&#10;85% to 89%&#10;79% t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22600" cy="4016490"/>
                    </a:xfrm>
                    <a:prstGeom prst="rect">
                      <a:avLst/>
                    </a:prstGeom>
                  </pic:spPr>
                </pic:pic>
              </a:graphicData>
            </a:graphic>
          </wp:inline>
        </w:drawing>
      </w:r>
    </w:p>
    <w:p w14:paraId="016A7351" w14:textId="0D4A3EE1" w:rsidR="00F82049" w:rsidRDefault="00F82049" w:rsidP="007D69D3">
      <w:pPr>
        <w:keepNext/>
        <w:keepLines/>
        <w:spacing w:before="200" w:after="200"/>
        <w:outlineLvl w:val="2"/>
        <w:sectPr w:rsidR="00F82049" w:rsidSect="00F82049">
          <w:type w:val="continuous"/>
          <w:pgSz w:w="12240" w:h="15840"/>
          <w:pgMar w:top="720" w:right="720" w:bottom="720" w:left="720" w:header="720" w:footer="720" w:gutter="0"/>
          <w:cols w:space="720"/>
          <w:docGrid w:linePitch="360"/>
        </w:sectPr>
      </w:pPr>
    </w:p>
    <w:p w14:paraId="5301E5CA" w14:textId="3E53C930" w:rsidR="004B0415" w:rsidRPr="00E2482A" w:rsidRDefault="00FE2176" w:rsidP="007D69D3">
      <w:pPr>
        <w:keepNext/>
        <w:keepLines/>
        <w:spacing w:before="200" w:after="200"/>
        <w:outlineLvl w:val="2"/>
        <w:rPr>
          <w:rFonts w:ascii="Georgia" w:hAnsi="Georgia" w:cstheme="minorHAnsi"/>
          <w:b/>
          <w:i/>
          <w:color w:val="004386"/>
        </w:rPr>
      </w:pPr>
      <w:r>
        <w:rPr>
          <w:rFonts w:ascii="Georgia" w:hAnsi="Georgia" w:cstheme="minorHAnsi"/>
          <w:b/>
          <w:i/>
          <w:color w:val="004386"/>
        </w:rPr>
        <w:lastRenderedPageBreak/>
        <w:t>Despite a formula that allocates more state money to those who have greater needs, some districts spend more than their required level</w:t>
      </w:r>
      <w:r w:rsidR="004B0415" w:rsidRPr="00E2482A">
        <w:rPr>
          <w:rFonts w:ascii="Georgia" w:hAnsi="Georgia" w:cstheme="minorHAnsi"/>
          <w:b/>
          <w:i/>
          <w:color w:val="004386"/>
        </w:rPr>
        <w:t>.</w:t>
      </w:r>
    </w:p>
    <w:p w14:paraId="55681375" w14:textId="47BD6CEA" w:rsidR="00FE2176" w:rsidRDefault="00FE2176" w:rsidP="007D69D3">
      <w:pPr>
        <w:spacing w:after="200"/>
      </w:pPr>
      <w:r w:rsidRPr="00014FAA">
        <w:t xml:space="preserve">Massachusetts measures local wealth in the Chapter 70 formula using a factor called </w:t>
      </w:r>
      <w:r>
        <w:t>“</w:t>
      </w:r>
      <w:r w:rsidRPr="00014FAA">
        <w:t>combined effort yield</w:t>
      </w:r>
      <w:r>
        <w:t>”</w:t>
      </w:r>
      <w:r w:rsidRPr="00014FAA">
        <w:t xml:space="preserve"> (</w:t>
      </w:r>
      <w:r>
        <w:t>going forward, we refer to this as “community wealth”</w:t>
      </w:r>
      <w:r w:rsidRPr="00014FAA">
        <w:t xml:space="preserve">), which calculates the share of the foundation </w:t>
      </w:r>
      <w:r>
        <w:t>budget</w:t>
      </w:r>
      <w:r w:rsidRPr="00014FAA">
        <w:t xml:space="preserve"> that could be funded </w:t>
      </w:r>
      <w:r>
        <w:t xml:space="preserve">locally </w:t>
      </w:r>
      <w:r w:rsidRPr="00014FAA">
        <w:t xml:space="preserve">based on the district’s </w:t>
      </w:r>
      <w:r>
        <w:t xml:space="preserve">personal </w:t>
      </w:r>
      <w:r w:rsidRPr="00014FAA">
        <w:t>income and property value</w:t>
      </w:r>
      <w:r>
        <w:t>s</w:t>
      </w:r>
      <w:r w:rsidRPr="00014FAA">
        <w:t xml:space="preserve">. </w:t>
      </w:r>
      <w:r w:rsidRPr="009001CE">
        <w:rPr>
          <w:rFonts w:ascii="Calibri" w:eastAsiaTheme="minorEastAsia" w:hAnsi="Calibri"/>
          <w:szCs w:val="24"/>
        </w:rPr>
        <w:t>In essence, this factor is the district’s budget, based on student need, relative to its wealth.</w:t>
      </w:r>
      <w:r>
        <w:rPr>
          <w:rFonts w:ascii="Calibri" w:eastAsiaTheme="minorEastAsia" w:hAnsi="Calibri"/>
          <w:szCs w:val="24"/>
        </w:rPr>
        <w:t xml:space="preserve"> </w:t>
      </w:r>
      <w:r w:rsidRPr="00014FAA">
        <w:t xml:space="preserve">Similar to local labor costs, </w:t>
      </w:r>
      <w:r>
        <w:t xml:space="preserve">community wealth varies widely </w:t>
      </w:r>
      <w:r w:rsidRPr="00014FAA">
        <w:t>across the state.</w:t>
      </w:r>
      <w:r>
        <w:t xml:space="preserve"> Lawrence has the lowest community wealth at 13 percent of foundation budget</w:t>
      </w:r>
      <w:r w:rsidRPr="00014FAA">
        <w:t xml:space="preserve">, while </w:t>
      </w:r>
      <w:r>
        <w:t>some towns on Cape Cod and the Islands have</w:t>
      </w:r>
      <w:r w:rsidRPr="00014FAA">
        <w:t xml:space="preserve"> </w:t>
      </w:r>
      <w:r>
        <w:t>community wealth higher than 150 percent</w:t>
      </w:r>
      <w:r w:rsidRPr="00014FAA">
        <w:t xml:space="preserve"> </w:t>
      </w:r>
      <w:r w:rsidRPr="00014FAA">
        <w:rPr>
          <w:b/>
        </w:rPr>
        <w:t xml:space="preserve">(figure </w:t>
      </w:r>
      <w:r>
        <w:rPr>
          <w:b/>
        </w:rPr>
        <w:t>3</w:t>
      </w:r>
      <w:r w:rsidRPr="00014FAA">
        <w:rPr>
          <w:b/>
        </w:rPr>
        <w:t>)</w:t>
      </w:r>
      <w:r w:rsidRPr="00014FAA">
        <w:t>.</w:t>
      </w:r>
      <w:r>
        <w:t xml:space="preserve"> </w:t>
      </w:r>
    </w:p>
    <w:p w14:paraId="09A9AED5" w14:textId="77777777" w:rsidR="00FE2176" w:rsidRDefault="00FE2176" w:rsidP="007D69D3">
      <w:pPr>
        <w:spacing w:after="200"/>
        <w:sectPr w:rsidR="00FE2176" w:rsidSect="00F82049">
          <w:type w:val="continuous"/>
          <w:pgSz w:w="12240" w:h="15840"/>
          <w:pgMar w:top="720" w:right="720" w:bottom="720" w:left="720" w:header="720" w:footer="720" w:gutter="0"/>
          <w:cols w:num="2" w:space="720"/>
          <w:docGrid w:linePitch="360"/>
        </w:sectPr>
      </w:pPr>
    </w:p>
    <w:p w14:paraId="49082101" w14:textId="193B10A1" w:rsidR="00FE2176" w:rsidRPr="0045567A" w:rsidRDefault="00FE2176" w:rsidP="007D69D3">
      <w:pPr>
        <w:spacing w:after="200"/>
        <w:rPr>
          <w:b/>
        </w:rPr>
      </w:pPr>
      <w:r w:rsidRPr="0045567A">
        <w:rPr>
          <w:b/>
        </w:rPr>
        <w:t>Figure 3.   District wealth, relative to student need, varies across Massachusetts by district and by region</w:t>
      </w:r>
    </w:p>
    <w:p w14:paraId="6FFC4F21" w14:textId="428D510D" w:rsidR="00FE2176" w:rsidRDefault="00F52BD6" w:rsidP="007D69D3">
      <w:pPr>
        <w:spacing w:after="200"/>
      </w:pPr>
      <w:r>
        <w:rPr>
          <w:noProof/>
        </w:rPr>
        <w:drawing>
          <wp:inline distT="0" distB="0" distL="0" distR="0" wp14:anchorId="426B2E79" wp14:editId="2CAA3160">
            <wp:extent cx="6858000" cy="4061460"/>
            <wp:effectExtent l="0" t="0" r="0" b="0"/>
            <wp:docPr id="7" name="Picture 7" descr="Figure 3: This is a school district map of Massachusetts that color codes each district based on their community wealth as a percent of their foundation budgets. The groups shown are:&#10;&#10;115% to 391%&#10;84% to 115%&#10;65% to 84%&#10;50% to 65%&#10;13% to 50%&#10;No calculated community 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061460"/>
                    </a:xfrm>
                    <a:prstGeom prst="rect">
                      <a:avLst/>
                    </a:prstGeom>
                  </pic:spPr>
                </pic:pic>
              </a:graphicData>
            </a:graphic>
          </wp:inline>
        </w:drawing>
      </w:r>
    </w:p>
    <w:p w14:paraId="57AA4B2D" w14:textId="53306F0F" w:rsidR="00FE2176" w:rsidRDefault="00FE2176" w:rsidP="007D69D3">
      <w:pPr>
        <w:spacing w:after="200"/>
      </w:pPr>
    </w:p>
    <w:p w14:paraId="43CCA307" w14:textId="77777777" w:rsidR="00FE2176" w:rsidRDefault="00FE2176" w:rsidP="007D69D3">
      <w:pPr>
        <w:spacing w:after="200"/>
        <w:sectPr w:rsidR="00FE2176" w:rsidSect="00FE2176">
          <w:type w:val="continuous"/>
          <w:pgSz w:w="12240" w:h="15840"/>
          <w:pgMar w:top="720" w:right="720" w:bottom="720" w:left="720" w:header="720" w:footer="720" w:gutter="0"/>
          <w:cols w:space="720"/>
          <w:docGrid w:linePitch="360"/>
        </w:sectPr>
      </w:pPr>
    </w:p>
    <w:p w14:paraId="7BF55D6C" w14:textId="3CDD4E1E" w:rsidR="00FE2176" w:rsidRDefault="00FE2176" w:rsidP="007D69D3">
      <w:pPr>
        <w:spacing w:after="200"/>
      </w:pPr>
      <w:r>
        <w:t xml:space="preserve">The Chapter 70 formula accounts for student needs, </w:t>
      </w:r>
      <w:r w:rsidR="00695E85">
        <w:t xml:space="preserve">community wealth, and </w:t>
      </w:r>
      <w:r>
        <w:t>local labor costs and then sets a district’s required spending level and the share funded by</w:t>
      </w:r>
      <w:r w:rsidDel="003148DA">
        <w:t xml:space="preserve"> </w:t>
      </w:r>
      <w:r>
        <w:t>state aid. Although communities cannot spend less than what is required, each community can set its local budget</w:t>
      </w:r>
      <w:r w:rsidRPr="0079339F">
        <w:t xml:space="preserve"> </w:t>
      </w:r>
      <w:r w:rsidRPr="00835094">
        <w:t>higher</w:t>
      </w:r>
      <w:r>
        <w:t xml:space="preserve"> than its required local contribution. As a result, districts with more community wealth tend to spend more per pupil than districts with less wealth (Jones, Berger, and Hatch 2018)</w:t>
      </w:r>
      <w:r w:rsidRPr="004979B3">
        <w:t>.</w:t>
      </w:r>
    </w:p>
    <w:p w14:paraId="5BF51A54" w14:textId="36FCE135" w:rsidR="00FE2176" w:rsidRDefault="00FE2176" w:rsidP="007D69D3">
      <w:pPr>
        <w:spacing w:after="200"/>
      </w:pPr>
      <w:r>
        <w:t xml:space="preserve">Foundation budgets are designed to address student need, such that the average foundation budget per </w:t>
      </w:r>
      <w:r>
        <w:t xml:space="preserve">pupil is higher in districts with larger shares of needy students. State funding—determined by both need and community wealth—tends to be higher in districts with higher shares of economically disadvantaged pupils. A Department of Elementary and Secondary Education analysis, which divides districts into weighted quartiles based on their share of economically disadvantaged pupils, demonstrates this trend </w:t>
      </w:r>
      <w:r w:rsidRPr="00E74C85">
        <w:rPr>
          <w:b/>
        </w:rPr>
        <w:t>(figure 4)</w:t>
      </w:r>
      <w:r>
        <w:t xml:space="preserve">. But because wealthier communities can spend above what is required, actual spending per pupil is not consistently progressive. </w:t>
      </w:r>
    </w:p>
    <w:p w14:paraId="29BDC02D" w14:textId="77777777" w:rsidR="00FE2176" w:rsidRDefault="00FE2176" w:rsidP="007D69D3">
      <w:pPr>
        <w:spacing w:after="200"/>
        <w:sectPr w:rsidR="00FE2176" w:rsidSect="00FE2176">
          <w:type w:val="continuous"/>
          <w:pgSz w:w="12240" w:h="15840"/>
          <w:pgMar w:top="720" w:right="720" w:bottom="720" w:left="720" w:header="720" w:footer="720" w:gutter="0"/>
          <w:cols w:num="2" w:space="720"/>
          <w:docGrid w:linePitch="360"/>
        </w:sectPr>
      </w:pPr>
    </w:p>
    <w:p w14:paraId="4D4169D5" w14:textId="0E28F6E4" w:rsidR="00FE2176" w:rsidRPr="0045567A" w:rsidRDefault="00FE2176" w:rsidP="007D69D3">
      <w:pPr>
        <w:spacing w:after="200"/>
        <w:rPr>
          <w:b/>
        </w:rPr>
      </w:pPr>
      <w:r w:rsidRPr="0045567A">
        <w:rPr>
          <w:b/>
        </w:rPr>
        <w:lastRenderedPageBreak/>
        <w:t>Figure 4.   Chapter 70 funding and state aid is allocated progressively across districts, but actual spending varies because districts may spend more than what is required</w:t>
      </w:r>
    </w:p>
    <w:p w14:paraId="7449AF62" w14:textId="55C4AAD9" w:rsidR="00FE2176" w:rsidRDefault="00621E7E" w:rsidP="007D69D3">
      <w:pPr>
        <w:spacing w:after="200"/>
      </w:pPr>
      <w:r>
        <w:rPr>
          <w:noProof/>
        </w:rPr>
        <w:drawing>
          <wp:inline distT="0" distB="0" distL="0" distR="0" wp14:anchorId="36F8865B" wp14:editId="64550317">
            <wp:extent cx="6988005" cy="3467595"/>
            <wp:effectExtent l="0" t="0" r="3810" b="0"/>
            <wp:docPr id="12" name="Picture 12" descr="Figure 4: This is a bar graph that groups school districts into wealth quartiles based on their economically disadvantaged enrollment as a percentage of their total enrollment (low concentration to high concentration), showing each groups: foundation budget per pupil, state aid per pupil, and actual spending per pupil.&#10;&#10;Districts with highest concentrations of economically disadvantaged students have the highest foundation budget and state aid per pupil amounts, while districts with the lowest concentrations of economically disadvantaged students spend more per pupil than districts with the highest concen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92816" cy="3469982"/>
                    </a:xfrm>
                    <a:prstGeom prst="rect">
                      <a:avLst/>
                    </a:prstGeom>
                    <a:noFill/>
                  </pic:spPr>
                </pic:pic>
              </a:graphicData>
            </a:graphic>
          </wp:inline>
        </w:drawing>
      </w:r>
    </w:p>
    <w:p w14:paraId="4C1D3F06" w14:textId="42BF8DB8" w:rsidR="00FE2176" w:rsidRDefault="00FE2176" w:rsidP="007D69D3">
      <w:pPr>
        <w:spacing w:after="200"/>
      </w:pPr>
    </w:p>
    <w:p w14:paraId="2CF02B06" w14:textId="77777777" w:rsidR="00FE2176" w:rsidRDefault="00FE2176" w:rsidP="007D69D3">
      <w:pPr>
        <w:spacing w:after="200"/>
        <w:sectPr w:rsidR="00FE2176" w:rsidSect="00FE2176">
          <w:type w:val="continuous"/>
          <w:pgSz w:w="12240" w:h="15840"/>
          <w:pgMar w:top="720" w:right="720" w:bottom="720" w:left="720" w:header="720" w:footer="720" w:gutter="0"/>
          <w:cols w:space="720"/>
          <w:docGrid w:linePitch="360"/>
        </w:sectPr>
      </w:pPr>
    </w:p>
    <w:p w14:paraId="68AC0B6E" w14:textId="250C7B10" w:rsidR="0045567A" w:rsidRPr="005831AB" w:rsidRDefault="0045567A" w:rsidP="007D69D3">
      <w:pPr>
        <w:pStyle w:val="Heading2"/>
        <w:spacing w:after="200"/>
        <w:rPr>
          <w:rFonts w:cstheme="minorHAnsi"/>
        </w:rPr>
      </w:pPr>
      <w:r>
        <w:t>How does school-level spending vary across the state relative to student need?</w:t>
      </w:r>
    </w:p>
    <w:p w14:paraId="2B3F56F9" w14:textId="45127A84" w:rsidR="0045567A" w:rsidRPr="003F03E2" w:rsidRDefault="0045567A" w:rsidP="007D69D3">
      <w:pPr>
        <w:pStyle w:val="Heading3"/>
        <w:spacing w:after="200" w:line="259" w:lineRule="auto"/>
      </w:pPr>
      <w:r>
        <w:t>High schools, particularly vocational</w:t>
      </w:r>
      <w:r w:rsidR="00301135">
        <w:t xml:space="preserve"> </w:t>
      </w:r>
      <w:r>
        <w:t>technical high schools, tend to spend more than elementary and middle schools.</w:t>
      </w:r>
    </w:p>
    <w:p w14:paraId="7FFA83AB" w14:textId="707566D3" w:rsidR="0045567A" w:rsidRDefault="0045567A" w:rsidP="007D69D3">
      <w:pPr>
        <w:spacing w:after="200"/>
      </w:pPr>
      <w:r w:rsidRPr="00CD78E3">
        <w:t xml:space="preserve">In line with national estimates, the average Massachusetts </w:t>
      </w:r>
      <w:r>
        <w:t>non-vocational high</w:t>
      </w:r>
      <w:r w:rsidRPr="00CD78E3">
        <w:t xml:space="preserve"> school spends about </w:t>
      </w:r>
      <w:r w:rsidRPr="00CD78E3">
        <w:t xml:space="preserve">$600 </w:t>
      </w:r>
      <w:r>
        <w:t>more</w:t>
      </w:r>
      <w:r w:rsidRPr="00CD78E3">
        <w:t xml:space="preserve"> per pupil than the average</w:t>
      </w:r>
      <w:r>
        <w:t xml:space="preserve"> elementary</w:t>
      </w:r>
      <w:r w:rsidRPr="00CD78E3">
        <w:t xml:space="preserve"> school </w:t>
      </w:r>
      <w:r w:rsidRPr="00CD78E3">
        <w:rPr>
          <w:b/>
        </w:rPr>
        <w:t>(figure 5)</w:t>
      </w:r>
      <w:r w:rsidRPr="004979B3">
        <w:t>.</w:t>
      </w:r>
      <w:r w:rsidRPr="00CD78E3">
        <w:t xml:space="preserve"> </w:t>
      </w:r>
      <w:r>
        <w:t>T</w:t>
      </w:r>
      <w:r w:rsidRPr="00CD78E3">
        <w:t xml:space="preserve">he average </w:t>
      </w:r>
      <w:r>
        <w:t>elementary</w:t>
      </w:r>
      <w:r w:rsidRPr="00CD78E3">
        <w:t xml:space="preserve"> school spends slightly </w:t>
      </w:r>
      <w:r>
        <w:t>more</w:t>
      </w:r>
      <w:r w:rsidRPr="00CD78E3">
        <w:t xml:space="preserve"> than the average </w:t>
      </w:r>
      <w:r>
        <w:t>middle</w:t>
      </w:r>
      <w:r w:rsidRPr="00CD78E3">
        <w:t xml:space="preserve"> school</w:t>
      </w:r>
      <w:r>
        <w:t xml:space="preserve">: </w:t>
      </w:r>
      <w:r w:rsidRPr="00CD78E3">
        <w:t xml:space="preserve">about $350 </w:t>
      </w:r>
      <w:r>
        <w:t>more</w:t>
      </w:r>
      <w:r w:rsidRPr="00CD78E3">
        <w:t xml:space="preserve"> per pupil. </w:t>
      </w:r>
      <w:r>
        <w:t>V</w:t>
      </w:r>
      <w:r w:rsidRPr="00CD78E3">
        <w:t>ocational</w:t>
      </w:r>
      <w:r>
        <w:t xml:space="preserve"> </w:t>
      </w:r>
      <w:r w:rsidRPr="00CD78E3">
        <w:t>technical high schools</w:t>
      </w:r>
      <w:r>
        <w:t>, which usually</w:t>
      </w:r>
      <w:r w:rsidRPr="00CD78E3">
        <w:t xml:space="preserve"> </w:t>
      </w:r>
      <w:r>
        <w:t xml:space="preserve">have smaller classes and higher equipment and facilities costs, </w:t>
      </w:r>
      <w:r w:rsidRPr="00CD78E3">
        <w:t>spend nearly $4,500</w:t>
      </w:r>
      <w:r>
        <w:t xml:space="preserve"> more per pupil than</w:t>
      </w:r>
      <w:r w:rsidRPr="00CD78E3">
        <w:t xml:space="preserve"> </w:t>
      </w:r>
      <w:r>
        <w:t>non-vocational high schools</w:t>
      </w:r>
      <w:r w:rsidRPr="00CD78E3">
        <w:t>.</w:t>
      </w:r>
    </w:p>
    <w:p w14:paraId="75C65D0F" w14:textId="77777777" w:rsidR="0045567A" w:rsidRDefault="0045567A" w:rsidP="007D69D3">
      <w:pPr>
        <w:spacing w:after="200"/>
        <w:rPr>
          <w:rFonts w:cstheme="minorHAnsi"/>
        </w:rPr>
      </w:pPr>
    </w:p>
    <w:p w14:paraId="573442D9" w14:textId="77777777" w:rsidR="0045567A" w:rsidRDefault="0045567A" w:rsidP="007D69D3">
      <w:pPr>
        <w:spacing w:after="200"/>
        <w:rPr>
          <w:rFonts w:cstheme="minorHAnsi"/>
        </w:rPr>
        <w:sectPr w:rsidR="0045567A" w:rsidSect="00FE2176">
          <w:type w:val="continuous"/>
          <w:pgSz w:w="12240" w:h="15840"/>
          <w:pgMar w:top="720" w:right="720" w:bottom="720" w:left="720" w:header="720" w:footer="720" w:gutter="0"/>
          <w:cols w:num="2" w:space="720"/>
          <w:docGrid w:linePitch="360"/>
        </w:sectPr>
      </w:pPr>
    </w:p>
    <w:p w14:paraId="4CD4FCC0" w14:textId="77777777" w:rsidR="00780CBF" w:rsidRDefault="00780CBF" w:rsidP="007D69D3">
      <w:pPr>
        <w:spacing w:after="200"/>
        <w:rPr>
          <w:rFonts w:cstheme="minorHAnsi"/>
          <w:b/>
        </w:rPr>
      </w:pPr>
      <w:r>
        <w:rPr>
          <w:rFonts w:cstheme="minorHAnsi"/>
          <w:b/>
        </w:rPr>
        <w:br w:type="page"/>
      </w:r>
    </w:p>
    <w:p w14:paraId="53BF4CF8" w14:textId="0C69AB15" w:rsidR="0045567A" w:rsidRPr="0045567A" w:rsidRDefault="0045567A" w:rsidP="007D69D3">
      <w:pPr>
        <w:spacing w:after="200"/>
        <w:rPr>
          <w:rFonts w:cstheme="minorHAnsi"/>
          <w:b/>
        </w:rPr>
      </w:pPr>
      <w:r>
        <w:rPr>
          <w:rFonts w:cstheme="minorHAnsi"/>
          <w:b/>
        </w:rPr>
        <w:lastRenderedPageBreak/>
        <w:t>Figure 5.   Average</w:t>
      </w:r>
      <w:r w:rsidRPr="0045567A">
        <w:rPr>
          <w:rFonts w:cstheme="minorHAnsi"/>
          <w:b/>
        </w:rPr>
        <w:t xml:space="preserve"> per pupil spending is higher in high schools relative to elementary or middle schools</w:t>
      </w:r>
    </w:p>
    <w:p w14:paraId="703A2403" w14:textId="707B76E4" w:rsidR="0045567A" w:rsidRDefault="000A4C9E" w:rsidP="00621E7E">
      <w:pPr>
        <w:spacing w:after="200"/>
        <w:jc w:val="center"/>
        <w:rPr>
          <w:rFonts w:cstheme="minorHAnsi"/>
        </w:rPr>
      </w:pPr>
      <w:r>
        <w:rPr>
          <w:rFonts w:cstheme="minorHAnsi"/>
          <w:noProof/>
        </w:rPr>
        <w:drawing>
          <wp:inline distT="0" distB="0" distL="0" distR="0" wp14:anchorId="34E63127" wp14:editId="235D487C">
            <wp:extent cx="4584700" cy="2755900"/>
            <wp:effectExtent l="0" t="0" r="6350" b="6350"/>
            <wp:docPr id="22" name="Picture 22" descr="Figure 5: This is a bar graph that shows average per pupil spending by school type. It shows that average per pupil spending is higher in high schools relative to elementary or middle schools.&#10;&#10;Early elementary school: $15,346 per pupil&#10;Elemetnary school: $15,511 per pupil&#10;Middle school: $15,147 per pupil&#10;High school: $16,096 per pupil&#10;Vocational high school: $20,548 per pup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249" cy="2761640"/>
                    </a:xfrm>
                    <a:prstGeom prst="rect">
                      <a:avLst/>
                    </a:prstGeom>
                    <a:noFill/>
                  </pic:spPr>
                </pic:pic>
              </a:graphicData>
            </a:graphic>
          </wp:inline>
        </w:drawing>
      </w:r>
    </w:p>
    <w:p w14:paraId="326EF139" w14:textId="440876C2" w:rsidR="0045567A" w:rsidRDefault="0045567A" w:rsidP="007D69D3">
      <w:pPr>
        <w:spacing w:after="200"/>
        <w:rPr>
          <w:rFonts w:cstheme="minorHAnsi"/>
        </w:rPr>
      </w:pPr>
    </w:p>
    <w:p w14:paraId="3CA3B3F0" w14:textId="77777777" w:rsidR="0045567A" w:rsidRDefault="0045567A" w:rsidP="007D69D3">
      <w:pPr>
        <w:spacing w:after="200"/>
        <w:rPr>
          <w:rFonts w:cstheme="minorHAnsi"/>
        </w:rPr>
        <w:sectPr w:rsidR="0045567A" w:rsidSect="0045567A">
          <w:type w:val="continuous"/>
          <w:pgSz w:w="12240" w:h="15840"/>
          <w:pgMar w:top="720" w:right="720" w:bottom="720" w:left="720" w:header="720" w:footer="720" w:gutter="0"/>
          <w:cols w:space="720"/>
          <w:docGrid w:linePitch="360"/>
        </w:sectPr>
      </w:pPr>
    </w:p>
    <w:p w14:paraId="13C0DBB4" w14:textId="11CA078D" w:rsidR="0045567A" w:rsidRDefault="0045567A" w:rsidP="007D69D3">
      <w:pPr>
        <w:spacing w:after="200"/>
      </w:pPr>
      <w:r>
        <w:t xml:space="preserve">A school’s grade span can affect per pupil spending, but many Massachusetts districts have only one school in a given grade span, particularly at the middle and high school level. Just 23 of our 321 sample districts have </w:t>
      </w:r>
      <w:r>
        <w:t xml:space="preserve">more than one high school, but most districts have more than one elementary school </w:t>
      </w:r>
      <w:r w:rsidRPr="00E74C85">
        <w:rPr>
          <w:b/>
        </w:rPr>
        <w:t>(figure 6)</w:t>
      </w:r>
      <w:r>
        <w:t>.</w:t>
      </w:r>
    </w:p>
    <w:p w14:paraId="0E905FDA" w14:textId="52123E8D" w:rsidR="0045567A" w:rsidRDefault="0045567A" w:rsidP="007D69D3">
      <w:pPr>
        <w:spacing w:after="200"/>
      </w:pPr>
    </w:p>
    <w:p w14:paraId="671B984A" w14:textId="77777777" w:rsidR="0045567A" w:rsidRDefault="0045567A" w:rsidP="007D69D3">
      <w:pPr>
        <w:spacing w:after="200"/>
        <w:rPr>
          <w:rFonts w:cstheme="minorHAnsi"/>
        </w:rPr>
        <w:sectPr w:rsidR="0045567A" w:rsidSect="0045567A">
          <w:type w:val="continuous"/>
          <w:pgSz w:w="12240" w:h="15840"/>
          <w:pgMar w:top="720" w:right="720" w:bottom="720" w:left="720" w:header="720" w:footer="720" w:gutter="0"/>
          <w:cols w:num="2" w:space="720"/>
          <w:docGrid w:linePitch="360"/>
        </w:sectPr>
      </w:pPr>
    </w:p>
    <w:p w14:paraId="20F683B0" w14:textId="522EB86E" w:rsidR="0045567A" w:rsidRPr="0045567A" w:rsidRDefault="0045567A" w:rsidP="007D69D3">
      <w:pPr>
        <w:spacing w:after="200"/>
        <w:rPr>
          <w:rFonts w:cstheme="minorHAnsi"/>
          <w:b/>
        </w:rPr>
      </w:pPr>
      <w:r w:rsidRPr="0045567A">
        <w:rPr>
          <w:rFonts w:cstheme="minorHAnsi"/>
          <w:b/>
        </w:rPr>
        <w:t>Figure 6.   Number of districts with two or more school</w:t>
      </w:r>
      <w:r w:rsidR="00301135">
        <w:rPr>
          <w:rFonts w:cstheme="minorHAnsi"/>
          <w:b/>
        </w:rPr>
        <w:t>s</w:t>
      </w:r>
      <w:r w:rsidRPr="0045567A">
        <w:rPr>
          <w:rFonts w:cstheme="minorHAnsi"/>
          <w:b/>
        </w:rPr>
        <w:t xml:space="preserve"> in a grade span to compare</w:t>
      </w:r>
    </w:p>
    <w:tbl>
      <w:tblPr>
        <w:tblW w:w="8820" w:type="dxa"/>
        <w:jc w:val="center"/>
        <w:tblLook w:val="04A0" w:firstRow="1" w:lastRow="0" w:firstColumn="1" w:lastColumn="0" w:noHBand="0" w:noVBand="1"/>
      </w:tblPr>
      <w:tblGrid>
        <w:gridCol w:w="3060"/>
        <w:gridCol w:w="953"/>
        <w:gridCol w:w="895"/>
        <w:gridCol w:w="1034"/>
        <w:gridCol w:w="953"/>
        <w:gridCol w:w="895"/>
        <w:gridCol w:w="1034"/>
      </w:tblGrid>
      <w:tr w:rsidR="000A4C9E" w:rsidRPr="000A4C9E" w14:paraId="057318C1" w14:textId="77777777" w:rsidTr="001814E5">
        <w:trPr>
          <w:trHeight w:val="615"/>
          <w:jc w:val="center"/>
        </w:trPr>
        <w:tc>
          <w:tcPr>
            <w:tcW w:w="3060" w:type="dxa"/>
            <w:tcBorders>
              <w:top w:val="single" w:sz="4" w:space="0" w:color="auto"/>
              <w:left w:val="single" w:sz="4" w:space="0" w:color="auto"/>
              <w:bottom w:val="single" w:sz="4" w:space="0" w:color="auto"/>
              <w:right w:val="nil"/>
            </w:tcBorders>
            <w:shd w:val="clear" w:color="000000" w:fill="FFFFFF"/>
            <w:noWrap/>
            <w:vAlign w:val="bottom"/>
            <w:hideMark/>
          </w:tcPr>
          <w:p w14:paraId="7B90C0C1" w14:textId="77777777" w:rsidR="000A4C9E" w:rsidRPr="000A4C9E" w:rsidRDefault="000A4C9E" w:rsidP="000A4C9E">
            <w:pPr>
              <w:spacing w:after="0" w:line="240" w:lineRule="auto"/>
              <w:rPr>
                <w:rFonts w:ascii="Calibri" w:eastAsia="Times New Roman" w:hAnsi="Calibri" w:cs="Calibri"/>
              </w:rPr>
            </w:pPr>
            <w:r w:rsidRPr="000A4C9E">
              <w:rPr>
                <w:rFonts w:ascii="Calibri" w:eastAsia="Times New Roman" w:hAnsi="Calibri" w:cs="Calibri"/>
              </w:rPr>
              <w:t> </w:t>
            </w:r>
          </w:p>
        </w:tc>
        <w:tc>
          <w:tcPr>
            <w:tcW w:w="2880" w:type="dxa"/>
            <w:gridSpan w:val="3"/>
            <w:tcBorders>
              <w:top w:val="single" w:sz="4" w:space="0" w:color="auto"/>
              <w:left w:val="nil"/>
              <w:bottom w:val="single" w:sz="4" w:space="0" w:color="auto"/>
              <w:right w:val="nil"/>
            </w:tcBorders>
            <w:shd w:val="clear" w:color="000000" w:fill="FFFFFF"/>
            <w:vAlign w:val="center"/>
            <w:hideMark/>
          </w:tcPr>
          <w:p w14:paraId="7B3FAB7D" w14:textId="77777777" w:rsidR="000A4C9E" w:rsidRPr="000A4C9E" w:rsidRDefault="000A4C9E" w:rsidP="000A4C9E">
            <w:pPr>
              <w:spacing w:after="0" w:line="240" w:lineRule="auto"/>
              <w:jc w:val="center"/>
              <w:rPr>
                <w:rFonts w:ascii="Calibri" w:eastAsia="Times New Roman" w:hAnsi="Calibri" w:cs="Calibri"/>
              </w:rPr>
            </w:pPr>
            <w:r w:rsidRPr="000A4C9E">
              <w:rPr>
                <w:rFonts w:ascii="Calibri" w:eastAsia="Times New Roman" w:hAnsi="Calibri" w:cs="Calibri"/>
              </w:rPr>
              <w:t>Cannot Make Within-District Comparisons</w:t>
            </w:r>
          </w:p>
        </w:tc>
        <w:tc>
          <w:tcPr>
            <w:tcW w:w="2880" w:type="dxa"/>
            <w:gridSpan w:val="3"/>
            <w:tcBorders>
              <w:top w:val="single" w:sz="4" w:space="0" w:color="auto"/>
              <w:left w:val="nil"/>
              <w:bottom w:val="single" w:sz="4" w:space="0" w:color="auto"/>
              <w:right w:val="single" w:sz="4" w:space="0" w:color="000000"/>
            </w:tcBorders>
            <w:shd w:val="clear" w:color="000000" w:fill="FFFFFF"/>
            <w:vAlign w:val="center"/>
            <w:hideMark/>
          </w:tcPr>
          <w:p w14:paraId="54A2D285" w14:textId="77777777" w:rsidR="000A4C9E" w:rsidRPr="000A4C9E" w:rsidRDefault="000A4C9E" w:rsidP="000A4C9E">
            <w:pPr>
              <w:spacing w:after="0" w:line="240" w:lineRule="auto"/>
              <w:jc w:val="center"/>
              <w:rPr>
                <w:rFonts w:ascii="Calibri" w:eastAsia="Times New Roman" w:hAnsi="Calibri" w:cs="Calibri"/>
              </w:rPr>
            </w:pPr>
            <w:r w:rsidRPr="000A4C9E">
              <w:rPr>
                <w:rFonts w:ascii="Calibri" w:eastAsia="Times New Roman" w:hAnsi="Calibri" w:cs="Calibri"/>
              </w:rPr>
              <w:t>Can Make Within-District Comparisons</w:t>
            </w:r>
          </w:p>
        </w:tc>
      </w:tr>
      <w:tr w:rsidR="000A4C9E" w:rsidRPr="000A4C9E" w14:paraId="7A91EDC9" w14:textId="77777777" w:rsidTr="001814E5">
        <w:trPr>
          <w:trHeight w:val="375"/>
          <w:jc w:val="center"/>
        </w:trPr>
        <w:tc>
          <w:tcPr>
            <w:tcW w:w="3060" w:type="dxa"/>
            <w:tcBorders>
              <w:top w:val="nil"/>
              <w:left w:val="single" w:sz="4" w:space="0" w:color="auto"/>
              <w:bottom w:val="nil"/>
              <w:right w:val="nil"/>
            </w:tcBorders>
            <w:shd w:val="clear" w:color="000000" w:fill="D9D9D9"/>
            <w:noWrap/>
            <w:vAlign w:val="center"/>
            <w:hideMark/>
          </w:tcPr>
          <w:p w14:paraId="2B894ED3" w14:textId="77777777" w:rsidR="000A4C9E" w:rsidRPr="000A4C9E" w:rsidRDefault="000A4C9E" w:rsidP="000A4C9E">
            <w:pPr>
              <w:spacing w:after="0" w:line="240" w:lineRule="auto"/>
              <w:ind w:firstLineChars="100" w:firstLine="220"/>
              <w:rPr>
                <w:rFonts w:ascii="Calibri" w:eastAsia="Times New Roman" w:hAnsi="Calibri" w:cs="Calibri"/>
              </w:rPr>
            </w:pPr>
            <w:r w:rsidRPr="000A4C9E">
              <w:rPr>
                <w:rFonts w:ascii="Calibri" w:eastAsia="Times New Roman" w:hAnsi="Calibri" w:cs="Calibri"/>
              </w:rPr>
              <w:t>Grade Span</w:t>
            </w:r>
          </w:p>
        </w:tc>
        <w:tc>
          <w:tcPr>
            <w:tcW w:w="953" w:type="dxa"/>
            <w:tcBorders>
              <w:top w:val="nil"/>
              <w:left w:val="single" w:sz="4" w:space="0" w:color="auto"/>
              <w:bottom w:val="single" w:sz="4" w:space="0" w:color="auto"/>
              <w:right w:val="nil"/>
            </w:tcBorders>
            <w:shd w:val="clear" w:color="000000" w:fill="D9D9D9"/>
            <w:noWrap/>
            <w:vAlign w:val="center"/>
            <w:hideMark/>
          </w:tcPr>
          <w:p w14:paraId="4DA1BCA8"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Districts</w:t>
            </w:r>
          </w:p>
        </w:tc>
        <w:tc>
          <w:tcPr>
            <w:tcW w:w="893" w:type="dxa"/>
            <w:tcBorders>
              <w:top w:val="nil"/>
              <w:left w:val="nil"/>
              <w:bottom w:val="single" w:sz="4" w:space="0" w:color="auto"/>
              <w:right w:val="nil"/>
            </w:tcBorders>
            <w:shd w:val="clear" w:color="000000" w:fill="D9D9D9"/>
            <w:noWrap/>
            <w:vAlign w:val="center"/>
            <w:hideMark/>
          </w:tcPr>
          <w:p w14:paraId="50CF6839"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Schools</w:t>
            </w:r>
          </w:p>
        </w:tc>
        <w:tc>
          <w:tcPr>
            <w:tcW w:w="1034" w:type="dxa"/>
            <w:tcBorders>
              <w:top w:val="nil"/>
              <w:left w:val="nil"/>
              <w:bottom w:val="single" w:sz="4" w:space="0" w:color="auto"/>
              <w:right w:val="nil"/>
            </w:tcBorders>
            <w:shd w:val="clear" w:color="000000" w:fill="D9D9D9"/>
            <w:noWrap/>
            <w:vAlign w:val="center"/>
            <w:hideMark/>
          </w:tcPr>
          <w:p w14:paraId="3FDE41D3"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Students</w:t>
            </w:r>
          </w:p>
        </w:tc>
        <w:tc>
          <w:tcPr>
            <w:tcW w:w="953" w:type="dxa"/>
            <w:tcBorders>
              <w:top w:val="nil"/>
              <w:left w:val="single" w:sz="4" w:space="0" w:color="auto"/>
              <w:bottom w:val="single" w:sz="4" w:space="0" w:color="auto"/>
              <w:right w:val="nil"/>
            </w:tcBorders>
            <w:shd w:val="clear" w:color="000000" w:fill="D9D9D9"/>
            <w:noWrap/>
            <w:vAlign w:val="center"/>
            <w:hideMark/>
          </w:tcPr>
          <w:p w14:paraId="4C9023CD"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Districts</w:t>
            </w:r>
          </w:p>
        </w:tc>
        <w:tc>
          <w:tcPr>
            <w:tcW w:w="893" w:type="dxa"/>
            <w:tcBorders>
              <w:top w:val="nil"/>
              <w:left w:val="nil"/>
              <w:bottom w:val="single" w:sz="4" w:space="0" w:color="auto"/>
              <w:right w:val="nil"/>
            </w:tcBorders>
            <w:shd w:val="clear" w:color="000000" w:fill="D9D9D9"/>
            <w:noWrap/>
            <w:vAlign w:val="center"/>
            <w:hideMark/>
          </w:tcPr>
          <w:p w14:paraId="50BA5BBE"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Schools</w:t>
            </w:r>
          </w:p>
        </w:tc>
        <w:tc>
          <w:tcPr>
            <w:tcW w:w="1034" w:type="dxa"/>
            <w:tcBorders>
              <w:top w:val="nil"/>
              <w:left w:val="nil"/>
              <w:bottom w:val="single" w:sz="4" w:space="0" w:color="auto"/>
              <w:right w:val="single" w:sz="4" w:space="0" w:color="auto"/>
            </w:tcBorders>
            <w:shd w:val="clear" w:color="000000" w:fill="D9D9D9"/>
            <w:noWrap/>
            <w:vAlign w:val="center"/>
            <w:hideMark/>
          </w:tcPr>
          <w:p w14:paraId="185E73EC"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Students</w:t>
            </w:r>
          </w:p>
        </w:tc>
      </w:tr>
      <w:tr w:rsidR="000A4C9E" w:rsidRPr="000A4C9E" w14:paraId="25A35479" w14:textId="77777777" w:rsidTr="001814E5">
        <w:trPr>
          <w:trHeight w:val="345"/>
          <w:jc w:val="center"/>
        </w:trPr>
        <w:tc>
          <w:tcPr>
            <w:tcW w:w="3060" w:type="dxa"/>
            <w:tcBorders>
              <w:top w:val="single" w:sz="4" w:space="0" w:color="auto"/>
              <w:left w:val="single" w:sz="4" w:space="0" w:color="auto"/>
              <w:bottom w:val="nil"/>
              <w:right w:val="single" w:sz="4" w:space="0" w:color="auto"/>
            </w:tcBorders>
            <w:shd w:val="clear" w:color="000000" w:fill="FFFFFF"/>
            <w:noWrap/>
            <w:vAlign w:val="center"/>
            <w:hideMark/>
          </w:tcPr>
          <w:p w14:paraId="4B5C3C0B" w14:textId="77777777" w:rsidR="000A4C9E" w:rsidRPr="000A4C9E" w:rsidRDefault="000A4C9E" w:rsidP="000A4C9E">
            <w:pPr>
              <w:spacing w:after="0" w:line="240" w:lineRule="auto"/>
              <w:ind w:firstLineChars="100" w:firstLine="220"/>
              <w:rPr>
                <w:rFonts w:ascii="Calibri" w:eastAsia="Times New Roman" w:hAnsi="Calibri" w:cs="Calibri"/>
              </w:rPr>
            </w:pPr>
            <w:r w:rsidRPr="000A4C9E">
              <w:rPr>
                <w:rFonts w:ascii="Calibri" w:eastAsia="Times New Roman" w:hAnsi="Calibri" w:cs="Calibri"/>
              </w:rPr>
              <w:t>Elementary Schools</w:t>
            </w:r>
          </w:p>
        </w:tc>
        <w:tc>
          <w:tcPr>
            <w:tcW w:w="953" w:type="dxa"/>
            <w:tcBorders>
              <w:top w:val="nil"/>
              <w:left w:val="nil"/>
              <w:bottom w:val="nil"/>
              <w:right w:val="nil"/>
            </w:tcBorders>
            <w:shd w:val="clear" w:color="000000" w:fill="FFFFFF"/>
            <w:noWrap/>
            <w:vAlign w:val="center"/>
            <w:hideMark/>
          </w:tcPr>
          <w:p w14:paraId="2C784DEF"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115</w:t>
            </w:r>
          </w:p>
        </w:tc>
        <w:tc>
          <w:tcPr>
            <w:tcW w:w="893" w:type="dxa"/>
            <w:tcBorders>
              <w:top w:val="nil"/>
              <w:left w:val="nil"/>
              <w:bottom w:val="nil"/>
              <w:right w:val="nil"/>
            </w:tcBorders>
            <w:shd w:val="clear" w:color="000000" w:fill="FFFFFF"/>
            <w:noWrap/>
            <w:vAlign w:val="center"/>
            <w:hideMark/>
          </w:tcPr>
          <w:p w14:paraId="1E529ECC"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67</w:t>
            </w:r>
          </w:p>
        </w:tc>
        <w:tc>
          <w:tcPr>
            <w:tcW w:w="1034" w:type="dxa"/>
            <w:tcBorders>
              <w:top w:val="nil"/>
              <w:left w:val="nil"/>
              <w:bottom w:val="nil"/>
              <w:right w:val="nil"/>
            </w:tcBorders>
            <w:shd w:val="clear" w:color="000000" w:fill="FFFFFF"/>
            <w:noWrap/>
            <w:vAlign w:val="center"/>
            <w:hideMark/>
          </w:tcPr>
          <w:p w14:paraId="62A2AAD6"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21,604</w:t>
            </w:r>
          </w:p>
        </w:tc>
        <w:tc>
          <w:tcPr>
            <w:tcW w:w="953" w:type="dxa"/>
            <w:tcBorders>
              <w:top w:val="nil"/>
              <w:left w:val="single" w:sz="4" w:space="0" w:color="auto"/>
              <w:bottom w:val="nil"/>
              <w:right w:val="nil"/>
            </w:tcBorders>
            <w:shd w:val="clear" w:color="000000" w:fill="FFFFFF"/>
            <w:noWrap/>
            <w:vAlign w:val="center"/>
            <w:hideMark/>
          </w:tcPr>
          <w:p w14:paraId="1580AC76"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206</w:t>
            </w:r>
          </w:p>
        </w:tc>
        <w:tc>
          <w:tcPr>
            <w:tcW w:w="893" w:type="dxa"/>
            <w:tcBorders>
              <w:top w:val="nil"/>
              <w:left w:val="nil"/>
              <w:bottom w:val="nil"/>
              <w:right w:val="nil"/>
            </w:tcBorders>
            <w:shd w:val="clear" w:color="000000" w:fill="FFFFFF"/>
            <w:noWrap/>
            <w:vAlign w:val="center"/>
            <w:hideMark/>
          </w:tcPr>
          <w:p w14:paraId="0464E0BF"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999</w:t>
            </w:r>
          </w:p>
        </w:tc>
        <w:tc>
          <w:tcPr>
            <w:tcW w:w="1034" w:type="dxa"/>
            <w:tcBorders>
              <w:top w:val="nil"/>
              <w:left w:val="nil"/>
              <w:bottom w:val="nil"/>
              <w:right w:val="single" w:sz="4" w:space="0" w:color="auto"/>
            </w:tcBorders>
            <w:shd w:val="clear" w:color="000000" w:fill="FFFFFF"/>
            <w:noWrap/>
            <w:vAlign w:val="center"/>
            <w:hideMark/>
          </w:tcPr>
          <w:p w14:paraId="2D0EA381"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417,460</w:t>
            </w:r>
          </w:p>
        </w:tc>
      </w:tr>
      <w:tr w:rsidR="000A4C9E" w:rsidRPr="000A4C9E" w14:paraId="3BBE0500" w14:textId="77777777" w:rsidTr="001814E5">
        <w:trPr>
          <w:trHeight w:val="345"/>
          <w:jc w:val="center"/>
        </w:trPr>
        <w:tc>
          <w:tcPr>
            <w:tcW w:w="3060" w:type="dxa"/>
            <w:tcBorders>
              <w:top w:val="nil"/>
              <w:left w:val="single" w:sz="4" w:space="0" w:color="auto"/>
              <w:bottom w:val="nil"/>
              <w:right w:val="single" w:sz="4" w:space="0" w:color="auto"/>
            </w:tcBorders>
            <w:shd w:val="clear" w:color="000000" w:fill="FFFFFF"/>
            <w:noWrap/>
            <w:vAlign w:val="center"/>
            <w:hideMark/>
          </w:tcPr>
          <w:p w14:paraId="05EC59D0" w14:textId="77777777" w:rsidR="000A4C9E" w:rsidRPr="000A4C9E" w:rsidRDefault="000A4C9E" w:rsidP="000A4C9E">
            <w:pPr>
              <w:spacing w:after="0" w:line="240" w:lineRule="auto"/>
              <w:ind w:firstLineChars="100" w:firstLine="220"/>
              <w:rPr>
                <w:rFonts w:ascii="Calibri" w:eastAsia="Times New Roman" w:hAnsi="Calibri" w:cs="Calibri"/>
              </w:rPr>
            </w:pPr>
            <w:r w:rsidRPr="000A4C9E">
              <w:rPr>
                <w:rFonts w:ascii="Calibri" w:eastAsia="Times New Roman" w:hAnsi="Calibri" w:cs="Calibri"/>
              </w:rPr>
              <w:t>Middle Schools</w:t>
            </w:r>
          </w:p>
        </w:tc>
        <w:tc>
          <w:tcPr>
            <w:tcW w:w="953" w:type="dxa"/>
            <w:tcBorders>
              <w:top w:val="nil"/>
              <w:left w:val="nil"/>
              <w:bottom w:val="nil"/>
              <w:right w:val="nil"/>
            </w:tcBorders>
            <w:shd w:val="clear" w:color="000000" w:fill="FFFFFF"/>
            <w:noWrap/>
            <w:vAlign w:val="center"/>
            <w:hideMark/>
          </w:tcPr>
          <w:p w14:paraId="573E2859"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272</w:t>
            </w:r>
          </w:p>
        </w:tc>
        <w:tc>
          <w:tcPr>
            <w:tcW w:w="893" w:type="dxa"/>
            <w:tcBorders>
              <w:top w:val="nil"/>
              <w:left w:val="nil"/>
              <w:bottom w:val="nil"/>
              <w:right w:val="nil"/>
            </w:tcBorders>
            <w:shd w:val="clear" w:color="000000" w:fill="FFFFFF"/>
            <w:noWrap/>
            <w:vAlign w:val="center"/>
            <w:hideMark/>
          </w:tcPr>
          <w:p w14:paraId="069EC97C"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139</w:t>
            </w:r>
          </w:p>
        </w:tc>
        <w:tc>
          <w:tcPr>
            <w:tcW w:w="1034" w:type="dxa"/>
            <w:tcBorders>
              <w:top w:val="nil"/>
              <w:left w:val="nil"/>
              <w:bottom w:val="nil"/>
              <w:right w:val="nil"/>
            </w:tcBorders>
            <w:shd w:val="clear" w:color="000000" w:fill="FFFFFF"/>
            <w:noWrap/>
            <w:vAlign w:val="center"/>
            <w:hideMark/>
          </w:tcPr>
          <w:p w14:paraId="14A443C9"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87,840</w:t>
            </w:r>
          </w:p>
        </w:tc>
        <w:tc>
          <w:tcPr>
            <w:tcW w:w="953" w:type="dxa"/>
            <w:tcBorders>
              <w:top w:val="nil"/>
              <w:left w:val="single" w:sz="4" w:space="0" w:color="auto"/>
              <w:bottom w:val="nil"/>
              <w:right w:val="nil"/>
            </w:tcBorders>
            <w:shd w:val="clear" w:color="000000" w:fill="FFFFFF"/>
            <w:noWrap/>
            <w:vAlign w:val="center"/>
            <w:hideMark/>
          </w:tcPr>
          <w:p w14:paraId="7CC93029"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49</w:t>
            </w:r>
          </w:p>
        </w:tc>
        <w:tc>
          <w:tcPr>
            <w:tcW w:w="893" w:type="dxa"/>
            <w:tcBorders>
              <w:top w:val="nil"/>
              <w:left w:val="nil"/>
              <w:bottom w:val="nil"/>
              <w:right w:val="nil"/>
            </w:tcBorders>
            <w:shd w:val="clear" w:color="000000" w:fill="FFFFFF"/>
            <w:noWrap/>
            <w:vAlign w:val="center"/>
            <w:hideMark/>
          </w:tcPr>
          <w:p w14:paraId="4D49934C"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145</w:t>
            </w:r>
          </w:p>
        </w:tc>
        <w:tc>
          <w:tcPr>
            <w:tcW w:w="1034" w:type="dxa"/>
            <w:tcBorders>
              <w:top w:val="nil"/>
              <w:left w:val="nil"/>
              <w:bottom w:val="nil"/>
              <w:right w:val="single" w:sz="4" w:space="0" w:color="auto"/>
            </w:tcBorders>
            <w:shd w:val="clear" w:color="000000" w:fill="FFFFFF"/>
            <w:noWrap/>
            <w:vAlign w:val="center"/>
            <w:hideMark/>
          </w:tcPr>
          <w:p w14:paraId="1AA4B4EF"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82,596</w:t>
            </w:r>
          </w:p>
        </w:tc>
      </w:tr>
      <w:tr w:rsidR="000A4C9E" w:rsidRPr="000A4C9E" w14:paraId="453BA17E" w14:textId="77777777" w:rsidTr="001814E5">
        <w:trPr>
          <w:trHeight w:val="345"/>
          <w:jc w:val="center"/>
        </w:trPr>
        <w:tc>
          <w:tcPr>
            <w:tcW w:w="3060" w:type="dxa"/>
            <w:tcBorders>
              <w:top w:val="nil"/>
              <w:left w:val="single" w:sz="4" w:space="0" w:color="auto"/>
              <w:bottom w:val="single" w:sz="4" w:space="0" w:color="auto"/>
              <w:right w:val="single" w:sz="4" w:space="0" w:color="auto"/>
            </w:tcBorders>
            <w:shd w:val="clear" w:color="000000" w:fill="FFFFFF"/>
            <w:noWrap/>
            <w:vAlign w:val="center"/>
            <w:hideMark/>
          </w:tcPr>
          <w:p w14:paraId="03D2921E" w14:textId="77777777" w:rsidR="000A4C9E" w:rsidRPr="000A4C9E" w:rsidRDefault="000A4C9E" w:rsidP="000A4C9E">
            <w:pPr>
              <w:spacing w:after="0" w:line="240" w:lineRule="auto"/>
              <w:ind w:firstLineChars="100" w:firstLine="220"/>
              <w:rPr>
                <w:rFonts w:ascii="Calibri" w:eastAsia="Times New Roman" w:hAnsi="Calibri" w:cs="Calibri"/>
              </w:rPr>
            </w:pPr>
            <w:r w:rsidRPr="000A4C9E">
              <w:rPr>
                <w:rFonts w:ascii="Calibri" w:eastAsia="Times New Roman" w:hAnsi="Calibri" w:cs="Calibri"/>
              </w:rPr>
              <w:t>High Schools</w:t>
            </w:r>
          </w:p>
        </w:tc>
        <w:tc>
          <w:tcPr>
            <w:tcW w:w="953" w:type="dxa"/>
            <w:tcBorders>
              <w:top w:val="nil"/>
              <w:left w:val="nil"/>
              <w:bottom w:val="single" w:sz="4" w:space="0" w:color="auto"/>
              <w:right w:val="nil"/>
            </w:tcBorders>
            <w:shd w:val="clear" w:color="000000" w:fill="FFFFFF"/>
            <w:noWrap/>
            <w:vAlign w:val="center"/>
            <w:hideMark/>
          </w:tcPr>
          <w:p w14:paraId="403C3675"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298</w:t>
            </w:r>
          </w:p>
        </w:tc>
        <w:tc>
          <w:tcPr>
            <w:tcW w:w="893" w:type="dxa"/>
            <w:tcBorders>
              <w:top w:val="nil"/>
              <w:left w:val="nil"/>
              <w:bottom w:val="single" w:sz="4" w:space="0" w:color="auto"/>
              <w:right w:val="nil"/>
            </w:tcBorders>
            <w:shd w:val="clear" w:color="000000" w:fill="FFFFFF"/>
            <w:noWrap/>
            <w:vAlign w:val="center"/>
            <w:hideMark/>
          </w:tcPr>
          <w:p w14:paraId="6101EAC3"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231</w:t>
            </w:r>
          </w:p>
        </w:tc>
        <w:tc>
          <w:tcPr>
            <w:tcW w:w="1034" w:type="dxa"/>
            <w:tcBorders>
              <w:top w:val="nil"/>
              <w:left w:val="nil"/>
              <w:bottom w:val="single" w:sz="4" w:space="0" w:color="auto"/>
              <w:right w:val="nil"/>
            </w:tcBorders>
            <w:shd w:val="clear" w:color="000000" w:fill="FFFFFF"/>
            <w:noWrap/>
            <w:vAlign w:val="center"/>
            <w:hideMark/>
          </w:tcPr>
          <w:p w14:paraId="219826E3"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211,405</w:t>
            </w:r>
          </w:p>
        </w:tc>
        <w:tc>
          <w:tcPr>
            <w:tcW w:w="953" w:type="dxa"/>
            <w:tcBorders>
              <w:top w:val="nil"/>
              <w:left w:val="single" w:sz="4" w:space="0" w:color="auto"/>
              <w:bottom w:val="single" w:sz="4" w:space="0" w:color="auto"/>
              <w:right w:val="nil"/>
            </w:tcBorders>
            <w:shd w:val="clear" w:color="000000" w:fill="FFFFFF"/>
            <w:noWrap/>
            <w:vAlign w:val="center"/>
            <w:hideMark/>
          </w:tcPr>
          <w:p w14:paraId="6518A974"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23</w:t>
            </w:r>
          </w:p>
        </w:tc>
        <w:tc>
          <w:tcPr>
            <w:tcW w:w="893" w:type="dxa"/>
            <w:tcBorders>
              <w:top w:val="nil"/>
              <w:left w:val="nil"/>
              <w:bottom w:val="single" w:sz="4" w:space="0" w:color="auto"/>
              <w:right w:val="nil"/>
            </w:tcBorders>
            <w:shd w:val="clear" w:color="000000" w:fill="FFFFFF"/>
            <w:noWrap/>
            <w:vAlign w:val="center"/>
            <w:hideMark/>
          </w:tcPr>
          <w:p w14:paraId="7E29C2EB"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83</w:t>
            </w:r>
          </w:p>
        </w:tc>
        <w:tc>
          <w:tcPr>
            <w:tcW w:w="1034" w:type="dxa"/>
            <w:tcBorders>
              <w:top w:val="nil"/>
              <w:left w:val="nil"/>
              <w:bottom w:val="single" w:sz="4" w:space="0" w:color="auto"/>
              <w:right w:val="single" w:sz="4" w:space="0" w:color="auto"/>
            </w:tcBorders>
            <w:shd w:val="clear" w:color="000000" w:fill="FFFFFF"/>
            <w:noWrap/>
            <w:vAlign w:val="center"/>
            <w:hideMark/>
          </w:tcPr>
          <w:p w14:paraId="2327B446" w14:textId="77777777" w:rsidR="000A4C9E" w:rsidRPr="000A4C9E" w:rsidRDefault="000A4C9E" w:rsidP="000A4C9E">
            <w:pPr>
              <w:spacing w:after="0" w:line="240" w:lineRule="auto"/>
              <w:jc w:val="right"/>
              <w:rPr>
                <w:rFonts w:ascii="Calibri" w:eastAsia="Times New Roman" w:hAnsi="Calibri" w:cs="Calibri"/>
              </w:rPr>
            </w:pPr>
            <w:r w:rsidRPr="000A4C9E">
              <w:rPr>
                <w:rFonts w:ascii="Calibri" w:eastAsia="Times New Roman" w:hAnsi="Calibri" w:cs="Calibri"/>
              </w:rPr>
              <w:t>72,600</w:t>
            </w:r>
          </w:p>
        </w:tc>
      </w:tr>
    </w:tbl>
    <w:p w14:paraId="22634141" w14:textId="4066D3EF" w:rsidR="0045567A" w:rsidRPr="002E3139" w:rsidRDefault="00621E7E" w:rsidP="00826E6D">
      <w:pPr>
        <w:spacing w:after="240"/>
        <w:ind w:left="990" w:right="990"/>
        <w:rPr>
          <w:rFonts w:cstheme="minorHAnsi"/>
          <w:i/>
          <w:sz w:val="20"/>
          <w:szCs w:val="20"/>
        </w:rPr>
      </w:pPr>
      <w:r w:rsidRPr="002E3139">
        <w:rPr>
          <w:rFonts w:cstheme="minorHAnsi"/>
          <w:b/>
          <w:i/>
          <w:sz w:val="20"/>
          <w:szCs w:val="20"/>
        </w:rPr>
        <w:t>Note</w:t>
      </w:r>
      <w:r w:rsidRPr="002E3139">
        <w:rPr>
          <w:rFonts w:cstheme="minorHAnsi"/>
          <w:i/>
          <w:sz w:val="20"/>
          <w:szCs w:val="20"/>
        </w:rPr>
        <w:t xml:space="preserve">: </w:t>
      </w:r>
      <w:r w:rsidR="000D546A" w:rsidRPr="002E3139">
        <w:rPr>
          <w:rFonts w:cstheme="minorHAnsi"/>
          <w:i/>
          <w:sz w:val="20"/>
          <w:szCs w:val="20"/>
        </w:rPr>
        <w:t xml:space="preserve">Some districts have no elementary schools because they are secondary districts, and other districts have only elementary grades. All 321 districts are included in each grade span count regardless of whether they could have a school in that grade band. </w:t>
      </w:r>
    </w:p>
    <w:p w14:paraId="73B8169B" w14:textId="7E3E57D4" w:rsidR="0045567A" w:rsidRDefault="0045567A" w:rsidP="007D69D3">
      <w:pPr>
        <w:spacing w:after="200"/>
        <w:rPr>
          <w:rFonts w:cstheme="minorHAnsi"/>
        </w:rPr>
        <w:sectPr w:rsidR="0045567A" w:rsidSect="0045567A">
          <w:type w:val="continuous"/>
          <w:pgSz w:w="12240" w:h="15840"/>
          <w:pgMar w:top="720" w:right="720" w:bottom="720" w:left="720" w:header="720" w:footer="720" w:gutter="0"/>
          <w:cols w:space="720"/>
          <w:docGrid w:linePitch="360"/>
        </w:sectPr>
      </w:pPr>
    </w:p>
    <w:p w14:paraId="525FC2B0" w14:textId="057D33F9" w:rsidR="00312E64" w:rsidRDefault="00312E64" w:rsidP="007D69D3">
      <w:pPr>
        <w:spacing w:after="200"/>
      </w:pPr>
      <w:r>
        <w:t xml:space="preserve">This figure indicates that, for example, 206 districts can make </w:t>
      </w:r>
      <w:r w:rsidR="00301135">
        <w:t>with</w:t>
      </w:r>
      <w:r>
        <w:t xml:space="preserve">in-district comparisons of elementary schools, and </w:t>
      </w:r>
      <w:r w:rsidR="005103BE">
        <w:t xml:space="preserve">among </w:t>
      </w:r>
      <w:r>
        <w:t xml:space="preserve">these districts, 999 schools educate 417,460 pupils. </w:t>
      </w:r>
    </w:p>
    <w:p w14:paraId="6749D679" w14:textId="77777777" w:rsidR="00312E64" w:rsidRDefault="00312E64" w:rsidP="007D69D3">
      <w:pPr>
        <w:spacing w:after="200"/>
      </w:pPr>
      <w:r>
        <w:t xml:space="preserve">Though most </w:t>
      </w:r>
      <w:r w:rsidRPr="00AC692D">
        <w:t>Massachusetts districts have</w:t>
      </w:r>
      <w:r>
        <w:t xml:space="preserve"> few schools, a majority </w:t>
      </w:r>
      <w:r w:rsidRPr="00AC692D">
        <w:t xml:space="preserve">of </w:t>
      </w:r>
      <w:r>
        <w:t xml:space="preserve">the state’s </w:t>
      </w:r>
      <w:r w:rsidRPr="00AC692D">
        <w:t>pupils are</w:t>
      </w:r>
      <w:r>
        <w:t xml:space="preserve"> enrolled in large districts with multiple schools in a given grade span. For the districts included in figure 6, 95 percent of elementary students are enrolled in districts with more than one elementary school, 48 percent of middle schoolers are enrolled in districts with more than one </w:t>
      </w:r>
      <w:r>
        <w:t xml:space="preserve">middle school, and 26 percent of high schoolers are enrolled in districts with more than one high school. </w:t>
      </w:r>
    </w:p>
    <w:p w14:paraId="57CD5471" w14:textId="07C83F21" w:rsidR="00312E64" w:rsidRDefault="00312E64" w:rsidP="007D69D3">
      <w:pPr>
        <w:spacing w:after="200"/>
      </w:pPr>
      <w:r>
        <w:t>Because spending varies among elementary, middle, and high schools, we conduct our analyses controlling for the grade span each school serves.</w:t>
      </w:r>
    </w:p>
    <w:p w14:paraId="282A8A7D" w14:textId="77777777" w:rsidR="006B0887" w:rsidRDefault="006B0887" w:rsidP="007D69D3">
      <w:pPr>
        <w:spacing w:after="200"/>
      </w:pPr>
    </w:p>
    <w:p w14:paraId="443B108B" w14:textId="74960B07" w:rsidR="003B08F2" w:rsidRPr="00B8505C" w:rsidRDefault="00312E64" w:rsidP="007D69D3">
      <w:pPr>
        <w:keepNext/>
        <w:keepLines/>
        <w:spacing w:before="200" w:after="200"/>
        <w:outlineLvl w:val="2"/>
        <w:rPr>
          <w:rFonts w:cstheme="minorHAnsi"/>
        </w:rPr>
      </w:pPr>
      <w:r>
        <w:rPr>
          <w:rFonts w:ascii="Georgia" w:hAnsi="Georgia" w:cstheme="minorHAnsi"/>
          <w:b/>
          <w:i/>
          <w:color w:val="004386"/>
        </w:rPr>
        <w:lastRenderedPageBreak/>
        <w:t>To compare school spending, we use a methodology that accounts for multiple dimensions of student need.</w:t>
      </w:r>
      <w:r w:rsidR="003B08F2" w:rsidRPr="00B8505C">
        <w:rPr>
          <w:rFonts w:cstheme="minorHAnsi"/>
        </w:rPr>
        <w:t xml:space="preserve"> </w:t>
      </w:r>
    </w:p>
    <w:p w14:paraId="365EE2BA" w14:textId="77777777" w:rsidR="00312E64" w:rsidRDefault="00312E64" w:rsidP="007D69D3">
      <w:pPr>
        <w:spacing w:after="200"/>
      </w:pPr>
      <w:r>
        <w:t xml:space="preserve">Schools with higher shares of economically disadvantaged pupils, pupils with disabilities, and English learners may provide specialized programming and additional supports beyond typical classroom instruction, meriting additional expenditures. To determine whether schools with higher shares of high-need students generally spend more, we evaluate school spending relative to these multiple dimensions of student need. </w:t>
      </w:r>
    </w:p>
    <w:p w14:paraId="712CD4C1" w14:textId="70F3064C" w:rsidR="00312E64" w:rsidRDefault="00312E64" w:rsidP="007D69D3">
      <w:pPr>
        <w:spacing w:after="200"/>
        <w:rPr>
          <w:color w:val="000000" w:themeColor="text1"/>
        </w:rPr>
      </w:pPr>
      <w:r>
        <w:t xml:space="preserve">We find that different types of student needs are correlated within Massachusetts schools. Schools with higher shares of economically disadvantaged students </w:t>
      </w:r>
      <w:r>
        <w:t xml:space="preserve">also typically have higher shares of English learners and, to a lesser degree, higher shares of students with disabilities. </w:t>
      </w:r>
      <w:r w:rsidRPr="00E74C85">
        <w:rPr>
          <w:b/>
        </w:rPr>
        <w:t>Figure 7</w:t>
      </w:r>
      <w:r>
        <w:t xml:space="preserve"> demonstrates this trend in the state’s elementary schools, grouping schools into quartiles by the share of pupils who are economically disadvantaged. In the highest quartile (elementary schools with more than 46 percent economically disadvantaged pupils), 27 percent of pupils are English learners, compared </w:t>
      </w:r>
      <w:r w:rsidR="00301135">
        <w:t xml:space="preserve">with </w:t>
      </w:r>
      <w:r>
        <w:t xml:space="preserve">just 4 percent in schools in the lowest quartile (with less than 13 percent economically disadvantaged pupils). </w:t>
      </w:r>
      <w:r w:rsidRPr="00DD10D1">
        <w:rPr>
          <w:color w:val="000000" w:themeColor="text1"/>
        </w:rPr>
        <w:t>Similarly, schools in the highest quartile of economic disadvantage report that</w:t>
      </w:r>
      <w:r>
        <w:rPr>
          <w:color w:val="000000" w:themeColor="text1"/>
        </w:rPr>
        <w:t xml:space="preserve">, on </w:t>
      </w:r>
      <w:r w:rsidRPr="00DD10D1">
        <w:rPr>
          <w:color w:val="000000" w:themeColor="text1"/>
        </w:rPr>
        <w:t>average</w:t>
      </w:r>
      <w:r>
        <w:rPr>
          <w:color w:val="000000" w:themeColor="text1"/>
        </w:rPr>
        <w:t>,</w:t>
      </w:r>
      <w:r w:rsidRPr="00DD10D1">
        <w:rPr>
          <w:color w:val="000000" w:themeColor="text1"/>
        </w:rPr>
        <w:t xml:space="preserve"> 21 percent of their </w:t>
      </w:r>
      <w:r>
        <w:t>pupil</w:t>
      </w:r>
      <w:r w:rsidRPr="00DD10D1">
        <w:rPr>
          <w:color w:val="000000" w:themeColor="text1"/>
        </w:rPr>
        <w:t xml:space="preserve">s </w:t>
      </w:r>
      <w:r>
        <w:rPr>
          <w:color w:val="000000" w:themeColor="text1"/>
        </w:rPr>
        <w:t>have</w:t>
      </w:r>
      <w:r w:rsidRPr="00DD10D1">
        <w:rPr>
          <w:color w:val="000000" w:themeColor="text1"/>
        </w:rPr>
        <w:t xml:space="preserve"> disabilities, </w:t>
      </w:r>
      <w:r>
        <w:rPr>
          <w:color w:val="000000" w:themeColor="text1"/>
        </w:rPr>
        <w:t>4</w:t>
      </w:r>
      <w:r w:rsidRPr="00DD10D1">
        <w:rPr>
          <w:color w:val="000000" w:themeColor="text1"/>
        </w:rPr>
        <w:t xml:space="preserve"> percentage points higher than</w:t>
      </w:r>
      <w:r>
        <w:rPr>
          <w:color w:val="000000" w:themeColor="text1"/>
        </w:rPr>
        <w:t xml:space="preserve"> for schools</w:t>
      </w:r>
      <w:r w:rsidRPr="00DD10D1">
        <w:rPr>
          <w:color w:val="000000" w:themeColor="text1"/>
        </w:rPr>
        <w:t xml:space="preserve"> in the lowest quartile.</w:t>
      </w:r>
    </w:p>
    <w:p w14:paraId="24CA0D9A" w14:textId="5F7CAECC" w:rsidR="000419A0" w:rsidRPr="00B8505C" w:rsidRDefault="000419A0" w:rsidP="007D69D3">
      <w:pPr>
        <w:spacing w:after="200"/>
        <w:rPr>
          <w:rFonts w:cstheme="minorHAnsi"/>
        </w:rPr>
      </w:pPr>
    </w:p>
    <w:p w14:paraId="62ACFA9C" w14:textId="77777777" w:rsidR="00312E64" w:rsidRDefault="00312E64" w:rsidP="007D69D3">
      <w:pPr>
        <w:spacing w:after="200"/>
        <w:rPr>
          <w:rFonts w:cstheme="minorHAnsi"/>
        </w:rPr>
        <w:sectPr w:rsidR="00312E64" w:rsidSect="0045567A">
          <w:type w:val="continuous"/>
          <w:pgSz w:w="12240" w:h="15840"/>
          <w:pgMar w:top="720" w:right="720" w:bottom="720" w:left="720" w:header="720" w:footer="720" w:gutter="0"/>
          <w:cols w:num="2" w:space="720"/>
          <w:docGrid w:linePitch="360"/>
        </w:sectPr>
      </w:pPr>
    </w:p>
    <w:p w14:paraId="0C651323" w14:textId="7721F0B0" w:rsidR="00312E64" w:rsidRPr="00312E64" w:rsidRDefault="00312E64" w:rsidP="007D69D3">
      <w:pPr>
        <w:spacing w:after="200"/>
        <w:rPr>
          <w:rFonts w:cstheme="minorHAnsi"/>
          <w:b/>
        </w:rPr>
      </w:pPr>
      <w:r w:rsidRPr="00312E64">
        <w:rPr>
          <w:rFonts w:cstheme="minorHAnsi"/>
          <w:b/>
        </w:rPr>
        <w:t>Figure 7.   Elementary schools with high shares of pupils who are economically disadvantaged are more likely to have high shares of English learners and pupil with disabilities</w:t>
      </w:r>
    </w:p>
    <w:p w14:paraId="30DBC9A6" w14:textId="71D4FBAE" w:rsidR="00312E64" w:rsidRDefault="000562D3" w:rsidP="00621E7E">
      <w:pPr>
        <w:spacing w:after="200"/>
        <w:jc w:val="center"/>
        <w:rPr>
          <w:rFonts w:cstheme="minorHAnsi"/>
        </w:rPr>
      </w:pPr>
      <w:r>
        <w:rPr>
          <w:rFonts w:cstheme="minorHAnsi"/>
          <w:noProof/>
        </w:rPr>
        <w:drawing>
          <wp:inline distT="0" distB="0" distL="0" distR="0" wp14:anchorId="670F7414" wp14:editId="10A7F5F3">
            <wp:extent cx="4124325" cy="2479165"/>
            <wp:effectExtent l="0" t="0" r="0" b="0"/>
            <wp:docPr id="9" name="Picture 9" descr="Figure 7: This figure includes two bar graphs. The first bar graph shows that as the average share of English learners in elementary schools increases, the concentration of economically disadvantaged students in the school increases.&#10;&#10;Lowest quartile share of economically disadvantaged students: 4% English learners&#10;Second quartile: 4% English learners&#10;Third quartile: 11% English learners&#10;Highest quartile: 27% English learn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0254" cy="2482729"/>
                    </a:xfrm>
                    <a:prstGeom prst="rect">
                      <a:avLst/>
                    </a:prstGeom>
                    <a:noFill/>
                  </pic:spPr>
                </pic:pic>
              </a:graphicData>
            </a:graphic>
          </wp:inline>
        </w:drawing>
      </w:r>
    </w:p>
    <w:p w14:paraId="45E9326D" w14:textId="4510485B" w:rsidR="002716D4" w:rsidRDefault="000562D3" w:rsidP="00621E7E">
      <w:pPr>
        <w:spacing w:after="200"/>
        <w:jc w:val="center"/>
        <w:rPr>
          <w:rFonts w:cstheme="minorHAnsi"/>
        </w:rPr>
        <w:sectPr w:rsidR="002716D4" w:rsidSect="00312E64">
          <w:type w:val="continuous"/>
          <w:pgSz w:w="12240" w:h="15840"/>
          <w:pgMar w:top="720" w:right="720" w:bottom="720" w:left="720" w:header="720" w:footer="720" w:gutter="0"/>
          <w:cols w:space="720"/>
          <w:docGrid w:linePitch="360"/>
        </w:sectPr>
      </w:pPr>
      <w:r>
        <w:rPr>
          <w:rFonts w:cstheme="minorHAnsi"/>
          <w:noProof/>
        </w:rPr>
        <w:drawing>
          <wp:inline distT="0" distB="0" distL="0" distR="0" wp14:anchorId="7817D5F4" wp14:editId="183B4783">
            <wp:extent cx="4124325" cy="2479164"/>
            <wp:effectExtent l="0" t="0" r="0" b="0"/>
            <wp:docPr id="10" name="Picture 10" descr="Figure 7: This is the second bar graph in Figure 7. This graph shows that as the average share of students with disabilities in elementary schools increases, the concentration of economically disadvantaged students in the school increases.&#10;&#10;Lowest quartile share of economically disadvantaged students: 17% students with disabilities&#10;Second quartile: 19% students with disabilities&#10;Third quartile: 21% students with disabilities&#10;Highest quartile: 21% student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1309" cy="2489374"/>
                    </a:xfrm>
                    <a:prstGeom prst="rect">
                      <a:avLst/>
                    </a:prstGeom>
                    <a:noFill/>
                  </pic:spPr>
                </pic:pic>
              </a:graphicData>
            </a:graphic>
          </wp:inline>
        </w:drawing>
      </w:r>
    </w:p>
    <w:p w14:paraId="3E248A65" w14:textId="77777777" w:rsidR="002716D4" w:rsidRDefault="002716D4" w:rsidP="007D69D3">
      <w:pPr>
        <w:spacing w:after="200"/>
        <w:rPr>
          <w:rFonts w:cstheme="minorHAnsi"/>
        </w:rPr>
        <w:sectPr w:rsidR="002716D4" w:rsidSect="00312E64">
          <w:type w:val="continuous"/>
          <w:pgSz w:w="12240" w:h="15840"/>
          <w:pgMar w:top="720" w:right="720" w:bottom="720" w:left="720" w:header="720" w:footer="720" w:gutter="0"/>
          <w:cols w:space="720"/>
          <w:docGrid w:linePitch="360"/>
        </w:sectPr>
      </w:pPr>
    </w:p>
    <w:bookmarkStart w:id="0" w:name="_GoBack"/>
    <w:p w14:paraId="348E7B0E" w14:textId="2E65C341" w:rsidR="00D35936" w:rsidRDefault="00436846" w:rsidP="007D69D3">
      <w:pPr>
        <w:spacing w:after="200"/>
        <w:rPr>
          <w:rFonts w:cstheme="minorHAnsi"/>
        </w:rPr>
      </w:pPr>
      <w:r>
        <w:rPr>
          <w:rFonts w:cstheme="minorHAnsi"/>
          <w:noProof/>
        </w:rPr>
        <w:lastRenderedPageBreak/>
        <mc:AlternateContent>
          <mc:Choice Requires="wps">
            <w:drawing>
              <wp:anchor distT="0" distB="0" distL="114300" distR="114300" simplePos="0" relativeHeight="251670528" behindDoc="1" locked="0" layoutInCell="1" allowOverlap="1" wp14:anchorId="76D39ACE" wp14:editId="0D49CCB3">
                <wp:simplePos x="0" y="0"/>
                <wp:positionH relativeFrom="margin">
                  <wp:align>left</wp:align>
                </wp:positionH>
                <wp:positionV relativeFrom="paragraph">
                  <wp:posOffset>161925</wp:posOffset>
                </wp:positionV>
                <wp:extent cx="6905625" cy="8848725"/>
                <wp:effectExtent l="0" t="0" r="28575" b="28575"/>
                <wp:wrapNone/>
                <wp:docPr id="23" name="Rectangle 23" descr="This is a text box explaining the statistical methodology used in the brief"/>
                <wp:cNvGraphicFramePr/>
                <a:graphic xmlns:a="http://schemas.openxmlformats.org/drawingml/2006/main">
                  <a:graphicData uri="http://schemas.microsoft.com/office/word/2010/wordprocessingShape">
                    <wps:wsp>
                      <wps:cNvSpPr/>
                      <wps:spPr>
                        <a:xfrm>
                          <a:off x="0" y="0"/>
                          <a:ext cx="6905625" cy="8848725"/>
                        </a:xfrm>
                        <a:prstGeom prst="rect">
                          <a:avLst/>
                        </a:prstGeom>
                        <a:solidFill>
                          <a:srgbClr val="E8EEF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1B46" id="Rectangle 23" o:spid="_x0000_s1026" alt="This is a text box explaining the statistical methodology used in the brief" style="position:absolute;margin-left:0;margin-top:12.75pt;width:543.75pt;height:696.7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" fillcolor="#e8eef8" strokecolor="#1f3763 [1604]" strokeweight="1pt">
                <w10:wrap anchorx="margin"/>
              </v:rect>
            </w:pict>
          </mc:Fallback>
        </mc:AlternateContent>
      </w:r>
      <w:bookmarkEnd w:id="0"/>
    </w:p>
    <w:p w14:paraId="1F5D3FE1" w14:textId="77777777" w:rsidR="00A55DD9" w:rsidRDefault="00A55DD9" w:rsidP="007D69D3">
      <w:pPr>
        <w:spacing w:after="200"/>
        <w:rPr>
          <w:rFonts w:cstheme="minorHAnsi"/>
        </w:rPr>
        <w:sectPr w:rsidR="00A55DD9" w:rsidSect="00780CBF">
          <w:pgSz w:w="12240" w:h="15840"/>
          <w:pgMar w:top="540" w:right="720" w:bottom="630" w:left="720" w:header="720" w:footer="720" w:gutter="0"/>
          <w:cols w:space="720"/>
          <w:docGrid w:linePitch="360"/>
        </w:sectPr>
      </w:pPr>
    </w:p>
    <w:p w14:paraId="0525CF95" w14:textId="7C180477" w:rsidR="00436846" w:rsidRPr="00436846" w:rsidRDefault="00436846" w:rsidP="00780CBF">
      <w:pPr>
        <w:spacing w:after="120"/>
        <w:jc w:val="center"/>
        <w:rPr>
          <w:b/>
          <w:i/>
          <w:color w:val="000000" w:themeColor="text1"/>
        </w:rPr>
      </w:pPr>
      <w:r>
        <w:rPr>
          <w:b/>
          <w:i/>
          <w:color w:val="000000" w:themeColor="text1"/>
        </w:rPr>
        <w:t xml:space="preserve">Statistical </w:t>
      </w:r>
      <w:r w:rsidR="000562D3">
        <w:rPr>
          <w:b/>
          <w:i/>
          <w:color w:val="000000" w:themeColor="text1"/>
        </w:rPr>
        <w:t>Methodology</w:t>
      </w:r>
    </w:p>
    <w:p w14:paraId="65AC3398" w14:textId="120A57E2" w:rsidR="001E4583" w:rsidRDefault="001E4583" w:rsidP="007D69D3">
      <w:pPr>
        <w:spacing w:after="200"/>
        <w:rPr>
          <w:i/>
          <w:color w:val="000000" w:themeColor="text1"/>
          <w:sz w:val="20"/>
          <w:szCs w:val="20"/>
        </w:rPr>
      </w:pPr>
      <w:r w:rsidRPr="008F72C9">
        <w:rPr>
          <w:i/>
          <w:color w:val="000000" w:themeColor="text1"/>
          <w:sz w:val="20"/>
          <w:szCs w:val="20"/>
        </w:rPr>
        <w:t xml:space="preserve">Our analyses describe differences in spending when the share of students in a subgroup increases by </w:t>
      </w:r>
      <w:r w:rsidR="004D49BB">
        <w:rPr>
          <w:i/>
          <w:color w:val="000000" w:themeColor="text1"/>
          <w:sz w:val="20"/>
          <w:szCs w:val="20"/>
        </w:rPr>
        <w:t>one</w:t>
      </w:r>
      <w:r w:rsidR="004D49BB" w:rsidRPr="008F72C9">
        <w:rPr>
          <w:i/>
          <w:color w:val="000000" w:themeColor="text1"/>
          <w:sz w:val="20"/>
          <w:szCs w:val="20"/>
        </w:rPr>
        <w:t xml:space="preserve"> </w:t>
      </w:r>
      <w:r w:rsidRPr="008F72C9">
        <w:rPr>
          <w:i/>
          <w:color w:val="000000" w:themeColor="text1"/>
          <w:sz w:val="20"/>
          <w:szCs w:val="20"/>
        </w:rPr>
        <w:t xml:space="preserve">standard deviation. A standard deviation describes the amount of variation around the measure’s average and is calculated so that two-thirds of the data fall within </w:t>
      </w:r>
      <w:r w:rsidR="004D49BB">
        <w:rPr>
          <w:i/>
          <w:color w:val="000000" w:themeColor="text1"/>
          <w:sz w:val="20"/>
          <w:szCs w:val="20"/>
        </w:rPr>
        <w:t>one</w:t>
      </w:r>
      <w:r w:rsidR="004D49BB" w:rsidRPr="008F72C9">
        <w:rPr>
          <w:i/>
          <w:color w:val="000000" w:themeColor="text1"/>
          <w:sz w:val="20"/>
          <w:szCs w:val="20"/>
        </w:rPr>
        <w:t xml:space="preserve"> </w:t>
      </w:r>
      <w:r w:rsidRPr="008F72C9">
        <w:rPr>
          <w:i/>
          <w:color w:val="000000" w:themeColor="text1"/>
          <w:sz w:val="20"/>
          <w:szCs w:val="20"/>
        </w:rPr>
        <w:t xml:space="preserve">standard deviation of the mean and 95 percent fall within </w:t>
      </w:r>
      <w:r w:rsidR="004D49BB">
        <w:rPr>
          <w:i/>
          <w:color w:val="000000" w:themeColor="text1"/>
          <w:sz w:val="20"/>
          <w:szCs w:val="20"/>
        </w:rPr>
        <w:t>two</w:t>
      </w:r>
      <w:r w:rsidR="004D49BB" w:rsidRPr="008F72C9">
        <w:rPr>
          <w:i/>
          <w:color w:val="000000" w:themeColor="text1"/>
          <w:sz w:val="20"/>
          <w:szCs w:val="20"/>
        </w:rPr>
        <w:t xml:space="preserve"> </w:t>
      </w:r>
      <w:r w:rsidRPr="008F72C9">
        <w:rPr>
          <w:i/>
          <w:color w:val="000000" w:themeColor="text1"/>
          <w:sz w:val="20"/>
          <w:szCs w:val="20"/>
        </w:rPr>
        <w:t xml:space="preserve">standard deviations. </w:t>
      </w:r>
    </w:p>
    <w:p w14:paraId="2B7C06CA" w14:textId="7B7E9309" w:rsidR="00837B46" w:rsidRDefault="00837B46" w:rsidP="00837B46">
      <w:pPr>
        <w:spacing w:after="200"/>
        <w:jc w:val="center"/>
        <w:rPr>
          <w:b/>
          <w:i/>
          <w:color w:val="000000" w:themeColor="text1"/>
          <w:sz w:val="20"/>
          <w:szCs w:val="20"/>
        </w:rPr>
      </w:pPr>
      <w:r w:rsidRPr="008F72C9">
        <w:rPr>
          <w:b/>
          <w:i/>
          <w:color w:val="000000" w:themeColor="text1"/>
          <w:sz w:val="20"/>
          <w:szCs w:val="20"/>
        </w:rPr>
        <w:t xml:space="preserve">Figure </w:t>
      </w:r>
      <w:r>
        <w:rPr>
          <w:b/>
          <w:i/>
          <w:color w:val="000000" w:themeColor="text1"/>
          <w:sz w:val="20"/>
          <w:szCs w:val="20"/>
        </w:rPr>
        <w:t>A</w:t>
      </w:r>
      <w:r w:rsidRPr="008F72C9">
        <w:rPr>
          <w:b/>
          <w:i/>
          <w:color w:val="000000" w:themeColor="text1"/>
          <w:sz w:val="20"/>
          <w:szCs w:val="20"/>
        </w:rPr>
        <w:t>.   Standard deviations for pupil shares with mean, minimum</w:t>
      </w:r>
      <w:r>
        <w:rPr>
          <w:b/>
          <w:i/>
          <w:color w:val="000000" w:themeColor="text1"/>
          <w:sz w:val="20"/>
          <w:szCs w:val="20"/>
        </w:rPr>
        <w:t>,</w:t>
      </w:r>
      <w:r w:rsidRPr="008F72C9">
        <w:rPr>
          <w:b/>
          <w:i/>
          <w:color w:val="000000" w:themeColor="text1"/>
          <w:sz w:val="20"/>
          <w:szCs w:val="20"/>
        </w:rPr>
        <w:t xml:space="preserve"> and maximum</w:t>
      </w:r>
    </w:p>
    <w:tbl>
      <w:tblPr>
        <w:tblW w:w="9860" w:type="dxa"/>
        <w:jc w:val="center"/>
        <w:tblLook w:val="04A0" w:firstRow="1" w:lastRow="0" w:firstColumn="1" w:lastColumn="0" w:noHBand="0" w:noVBand="1"/>
      </w:tblPr>
      <w:tblGrid>
        <w:gridCol w:w="4120"/>
        <w:gridCol w:w="1220"/>
        <w:gridCol w:w="1220"/>
        <w:gridCol w:w="1220"/>
        <w:gridCol w:w="2080"/>
      </w:tblGrid>
      <w:tr w:rsidR="00837B46" w:rsidRPr="003B7451" w14:paraId="49970A2F" w14:textId="77777777" w:rsidTr="001814E5">
        <w:trPr>
          <w:trHeight w:val="458"/>
          <w:jc w:val="center"/>
        </w:trPr>
        <w:tc>
          <w:tcPr>
            <w:tcW w:w="4120" w:type="dxa"/>
            <w:tcBorders>
              <w:top w:val="single" w:sz="4" w:space="0" w:color="auto"/>
              <w:left w:val="single" w:sz="4" w:space="0" w:color="auto"/>
              <w:bottom w:val="single" w:sz="4" w:space="0" w:color="auto"/>
              <w:right w:val="nil"/>
            </w:tcBorders>
            <w:shd w:val="clear" w:color="000000" w:fill="E8EEF8"/>
            <w:hideMark/>
          </w:tcPr>
          <w:p w14:paraId="501D2A74"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 </w:t>
            </w:r>
          </w:p>
        </w:tc>
        <w:tc>
          <w:tcPr>
            <w:tcW w:w="1220" w:type="dxa"/>
            <w:tcBorders>
              <w:top w:val="single" w:sz="4" w:space="0" w:color="auto"/>
              <w:left w:val="nil"/>
              <w:bottom w:val="single" w:sz="4" w:space="0" w:color="auto"/>
              <w:right w:val="nil"/>
            </w:tcBorders>
            <w:shd w:val="clear" w:color="000000" w:fill="E8EEF8"/>
            <w:vAlign w:val="center"/>
            <w:hideMark/>
          </w:tcPr>
          <w:p w14:paraId="09F29164" w14:textId="77777777" w:rsidR="00837B46" w:rsidRPr="003B7451" w:rsidRDefault="00837B46" w:rsidP="00D96F79">
            <w:pPr>
              <w:spacing w:before="80" w:after="80"/>
              <w:jc w:val="center"/>
              <w:rPr>
                <w:rFonts w:eastAsia="Times New Roman" w:cstheme="minorHAnsi"/>
                <w:b/>
                <w:bCs/>
                <w:i/>
                <w:iCs/>
                <w:sz w:val="20"/>
                <w:szCs w:val="20"/>
              </w:rPr>
            </w:pPr>
            <w:r w:rsidRPr="003B7451">
              <w:rPr>
                <w:rFonts w:eastAsia="Times New Roman" w:cstheme="minorHAnsi"/>
                <w:b/>
                <w:bCs/>
                <w:i/>
                <w:iCs/>
                <w:sz w:val="20"/>
                <w:szCs w:val="20"/>
              </w:rPr>
              <w:t>Mean</w:t>
            </w:r>
          </w:p>
        </w:tc>
        <w:tc>
          <w:tcPr>
            <w:tcW w:w="1220" w:type="dxa"/>
            <w:tcBorders>
              <w:top w:val="single" w:sz="4" w:space="0" w:color="auto"/>
              <w:left w:val="nil"/>
              <w:bottom w:val="single" w:sz="4" w:space="0" w:color="auto"/>
              <w:right w:val="nil"/>
            </w:tcBorders>
            <w:shd w:val="clear" w:color="000000" w:fill="E8EEF8"/>
            <w:vAlign w:val="center"/>
            <w:hideMark/>
          </w:tcPr>
          <w:p w14:paraId="39C0565C" w14:textId="77777777" w:rsidR="00837B46" w:rsidRPr="003B7451" w:rsidRDefault="00837B46" w:rsidP="00D96F79">
            <w:pPr>
              <w:spacing w:before="80" w:after="80"/>
              <w:jc w:val="center"/>
              <w:rPr>
                <w:rFonts w:eastAsia="Times New Roman" w:cstheme="minorHAnsi"/>
                <w:b/>
                <w:bCs/>
                <w:i/>
                <w:iCs/>
                <w:sz w:val="20"/>
                <w:szCs w:val="20"/>
              </w:rPr>
            </w:pPr>
            <w:r w:rsidRPr="003B7451">
              <w:rPr>
                <w:rFonts w:eastAsia="Times New Roman" w:cstheme="minorHAnsi"/>
                <w:b/>
                <w:bCs/>
                <w:i/>
                <w:iCs/>
                <w:sz w:val="20"/>
                <w:szCs w:val="20"/>
              </w:rPr>
              <w:t>Minimum</w:t>
            </w:r>
          </w:p>
        </w:tc>
        <w:tc>
          <w:tcPr>
            <w:tcW w:w="1220" w:type="dxa"/>
            <w:tcBorders>
              <w:top w:val="single" w:sz="4" w:space="0" w:color="auto"/>
              <w:left w:val="nil"/>
              <w:bottom w:val="single" w:sz="4" w:space="0" w:color="auto"/>
              <w:right w:val="nil"/>
            </w:tcBorders>
            <w:shd w:val="clear" w:color="000000" w:fill="E8EEF8"/>
            <w:vAlign w:val="center"/>
            <w:hideMark/>
          </w:tcPr>
          <w:p w14:paraId="22BDE7A2" w14:textId="77777777" w:rsidR="00837B46" w:rsidRPr="003B7451" w:rsidRDefault="00837B46" w:rsidP="00D96F79">
            <w:pPr>
              <w:spacing w:before="80" w:after="80"/>
              <w:jc w:val="center"/>
              <w:rPr>
                <w:rFonts w:eastAsia="Times New Roman" w:cstheme="minorHAnsi"/>
                <w:b/>
                <w:bCs/>
                <w:i/>
                <w:iCs/>
                <w:sz w:val="20"/>
                <w:szCs w:val="20"/>
              </w:rPr>
            </w:pPr>
            <w:r w:rsidRPr="003B7451">
              <w:rPr>
                <w:rFonts w:eastAsia="Times New Roman" w:cstheme="minorHAnsi"/>
                <w:b/>
                <w:bCs/>
                <w:i/>
                <w:iCs/>
                <w:sz w:val="20"/>
                <w:szCs w:val="20"/>
              </w:rPr>
              <w:t>Maximum</w:t>
            </w:r>
          </w:p>
        </w:tc>
        <w:tc>
          <w:tcPr>
            <w:tcW w:w="2080" w:type="dxa"/>
            <w:tcBorders>
              <w:top w:val="single" w:sz="4" w:space="0" w:color="auto"/>
              <w:left w:val="nil"/>
              <w:bottom w:val="single" w:sz="4" w:space="0" w:color="auto"/>
              <w:right w:val="single" w:sz="4" w:space="0" w:color="auto"/>
            </w:tcBorders>
            <w:shd w:val="clear" w:color="000000" w:fill="E8EEF8"/>
            <w:hideMark/>
          </w:tcPr>
          <w:p w14:paraId="6A6BEE04" w14:textId="77777777" w:rsidR="00837B46" w:rsidRPr="003B7451" w:rsidRDefault="00837B46" w:rsidP="00D96F79">
            <w:pPr>
              <w:spacing w:before="80" w:after="80"/>
              <w:jc w:val="center"/>
              <w:rPr>
                <w:rFonts w:eastAsia="Times New Roman" w:cstheme="minorHAnsi"/>
                <w:b/>
                <w:bCs/>
                <w:i/>
                <w:iCs/>
                <w:sz w:val="20"/>
                <w:szCs w:val="20"/>
              </w:rPr>
            </w:pPr>
            <w:r w:rsidRPr="003B7451">
              <w:rPr>
                <w:rFonts w:eastAsia="Times New Roman" w:cstheme="minorHAnsi"/>
                <w:b/>
                <w:bCs/>
                <w:i/>
                <w:iCs/>
                <w:sz w:val="20"/>
                <w:szCs w:val="20"/>
              </w:rPr>
              <w:t xml:space="preserve">Standard Deviation </w:t>
            </w:r>
            <w:r w:rsidRPr="003B7451">
              <w:rPr>
                <w:rFonts w:eastAsia="Times New Roman" w:cstheme="minorHAnsi"/>
                <w:b/>
                <w:bCs/>
                <w:i/>
                <w:iCs/>
                <w:sz w:val="20"/>
                <w:szCs w:val="20"/>
              </w:rPr>
              <w:br/>
            </w:r>
            <w:r w:rsidRPr="003B7451">
              <w:rPr>
                <w:rFonts w:eastAsia="Times New Roman" w:cstheme="minorHAnsi"/>
                <w:i/>
                <w:iCs/>
                <w:sz w:val="20"/>
                <w:szCs w:val="20"/>
              </w:rPr>
              <w:t>(Percentage Points)</w:t>
            </w:r>
          </w:p>
        </w:tc>
      </w:tr>
      <w:tr w:rsidR="00837B46" w:rsidRPr="003B7451" w14:paraId="01A94461" w14:textId="77777777" w:rsidTr="001814E5">
        <w:trPr>
          <w:trHeight w:val="288"/>
          <w:jc w:val="center"/>
        </w:trPr>
        <w:tc>
          <w:tcPr>
            <w:tcW w:w="4120" w:type="dxa"/>
            <w:tcBorders>
              <w:top w:val="nil"/>
              <w:left w:val="single" w:sz="4" w:space="0" w:color="auto"/>
              <w:bottom w:val="nil"/>
              <w:right w:val="nil"/>
            </w:tcBorders>
            <w:shd w:val="clear" w:color="000000" w:fill="E8EEF8"/>
            <w:vAlign w:val="center"/>
            <w:hideMark/>
          </w:tcPr>
          <w:p w14:paraId="426E9B25" w14:textId="77777777" w:rsidR="00837B46" w:rsidRPr="003B7451" w:rsidRDefault="00837B46" w:rsidP="00D96F79">
            <w:pPr>
              <w:spacing w:before="80" w:after="80"/>
              <w:rPr>
                <w:rFonts w:eastAsia="Times New Roman" w:cstheme="minorHAnsi"/>
                <w:i/>
                <w:iCs/>
                <w:sz w:val="20"/>
                <w:szCs w:val="20"/>
              </w:rPr>
            </w:pPr>
            <w:r w:rsidRPr="003B7451">
              <w:rPr>
                <w:rFonts w:eastAsia="Times New Roman" w:cstheme="minorHAnsi"/>
                <w:i/>
                <w:iCs/>
                <w:sz w:val="20"/>
                <w:szCs w:val="20"/>
              </w:rPr>
              <w:t>Economically</w:t>
            </w:r>
            <w:r>
              <w:rPr>
                <w:rFonts w:eastAsia="Times New Roman" w:cstheme="minorHAnsi"/>
                <w:i/>
                <w:iCs/>
                <w:sz w:val="20"/>
                <w:szCs w:val="20"/>
              </w:rPr>
              <w:t xml:space="preserve"> </w:t>
            </w:r>
            <w:r w:rsidRPr="003B7451">
              <w:rPr>
                <w:rFonts w:eastAsia="Times New Roman" w:cstheme="minorHAnsi"/>
                <w:i/>
                <w:iCs/>
                <w:sz w:val="20"/>
                <w:szCs w:val="20"/>
              </w:rPr>
              <w:t>Disadvantaged Pupil Share</w:t>
            </w:r>
          </w:p>
        </w:tc>
        <w:tc>
          <w:tcPr>
            <w:tcW w:w="1220" w:type="dxa"/>
            <w:tcBorders>
              <w:top w:val="nil"/>
              <w:left w:val="nil"/>
              <w:bottom w:val="nil"/>
              <w:right w:val="nil"/>
            </w:tcBorders>
            <w:shd w:val="clear" w:color="000000" w:fill="E8EEF8"/>
            <w:vAlign w:val="center"/>
            <w:hideMark/>
          </w:tcPr>
          <w:p w14:paraId="2842ADC3"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30%</w:t>
            </w:r>
          </w:p>
        </w:tc>
        <w:tc>
          <w:tcPr>
            <w:tcW w:w="1220" w:type="dxa"/>
            <w:tcBorders>
              <w:top w:val="nil"/>
              <w:left w:val="nil"/>
              <w:bottom w:val="nil"/>
              <w:right w:val="nil"/>
            </w:tcBorders>
            <w:shd w:val="clear" w:color="000000" w:fill="E8EEF8"/>
            <w:vAlign w:val="center"/>
            <w:hideMark/>
          </w:tcPr>
          <w:p w14:paraId="2110EB15"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0%</w:t>
            </w:r>
          </w:p>
        </w:tc>
        <w:tc>
          <w:tcPr>
            <w:tcW w:w="1220" w:type="dxa"/>
            <w:tcBorders>
              <w:top w:val="nil"/>
              <w:left w:val="nil"/>
              <w:bottom w:val="nil"/>
              <w:right w:val="nil"/>
            </w:tcBorders>
            <w:shd w:val="clear" w:color="000000" w:fill="E8EEF8"/>
            <w:vAlign w:val="center"/>
            <w:hideMark/>
          </w:tcPr>
          <w:p w14:paraId="211744EB"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92%</w:t>
            </w:r>
          </w:p>
        </w:tc>
        <w:tc>
          <w:tcPr>
            <w:tcW w:w="2080" w:type="dxa"/>
            <w:tcBorders>
              <w:top w:val="nil"/>
              <w:left w:val="nil"/>
              <w:bottom w:val="nil"/>
              <w:right w:val="single" w:sz="4" w:space="0" w:color="auto"/>
            </w:tcBorders>
            <w:shd w:val="clear" w:color="000000" w:fill="E8EEF8"/>
            <w:vAlign w:val="center"/>
            <w:hideMark/>
          </w:tcPr>
          <w:p w14:paraId="14BBBF5E"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21 p.p.</w:t>
            </w:r>
          </w:p>
        </w:tc>
      </w:tr>
      <w:tr w:rsidR="00837B46" w:rsidRPr="003B7451" w14:paraId="5D7ABC27" w14:textId="77777777" w:rsidTr="001814E5">
        <w:trPr>
          <w:trHeight w:val="288"/>
          <w:jc w:val="center"/>
        </w:trPr>
        <w:tc>
          <w:tcPr>
            <w:tcW w:w="4120" w:type="dxa"/>
            <w:tcBorders>
              <w:top w:val="nil"/>
              <w:left w:val="single" w:sz="4" w:space="0" w:color="auto"/>
              <w:bottom w:val="nil"/>
              <w:right w:val="nil"/>
            </w:tcBorders>
            <w:shd w:val="clear" w:color="000000" w:fill="E8EEF8"/>
            <w:vAlign w:val="center"/>
            <w:hideMark/>
          </w:tcPr>
          <w:p w14:paraId="55B0FECD" w14:textId="77777777" w:rsidR="00837B46" w:rsidRPr="003B7451" w:rsidRDefault="00837B46" w:rsidP="00D96F79">
            <w:pPr>
              <w:spacing w:before="80" w:after="80"/>
              <w:rPr>
                <w:rFonts w:eastAsia="Times New Roman" w:cstheme="minorHAnsi"/>
                <w:i/>
                <w:iCs/>
                <w:sz w:val="20"/>
                <w:szCs w:val="20"/>
              </w:rPr>
            </w:pPr>
            <w:r w:rsidRPr="003B7451">
              <w:rPr>
                <w:rFonts w:eastAsia="Times New Roman" w:cstheme="minorHAnsi"/>
                <w:i/>
                <w:iCs/>
                <w:sz w:val="20"/>
                <w:szCs w:val="20"/>
              </w:rPr>
              <w:t>English Learner Share</w:t>
            </w:r>
          </w:p>
        </w:tc>
        <w:tc>
          <w:tcPr>
            <w:tcW w:w="1220" w:type="dxa"/>
            <w:tcBorders>
              <w:top w:val="nil"/>
              <w:left w:val="nil"/>
              <w:bottom w:val="nil"/>
              <w:right w:val="nil"/>
            </w:tcBorders>
            <w:shd w:val="clear" w:color="000000" w:fill="E8EEF8"/>
            <w:vAlign w:val="center"/>
            <w:hideMark/>
          </w:tcPr>
          <w:p w14:paraId="022BD5D8"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10%</w:t>
            </w:r>
          </w:p>
        </w:tc>
        <w:tc>
          <w:tcPr>
            <w:tcW w:w="1220" w:type="dxa"/>
            <w:tcBorders>
              <w:top w:val="nil"/>
              <w:left w:val="nil"/>
              <w:bottom w:val="nil"/>
              <w:right w:val="nil"/>
            </w:tcBorders>
            <w:shd w:val="clear" w:color="000000" w:fill="E8EEF8"/>
            <w:vAlign w:val="center"/>
            <w:hideMark/>
          </w:tcPr>
          <w:p w14:paraId="66B77677"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0%</w:t>
            </w:r>
          </w:p>
        </w:tc>
        <w:tc>
          <w:tcPr>
            <w:tcW w:w="1220" w:type="dxa"/>
            <w:tcBorders>
              <w:top w:val="nil"/>
              <w:left w:val="nil"/>
              <w:bottom w:val="nil"/>
              <w:right w:val="nil"/>
            </w:tcBorders>
            <w:shd w:val="clear" w:color="000000" w:fill="E8EEF8"/>
            <w:vAlign w:val="center"/>
            <w:hideMark/>
          </w:tcPr>
          <w:p w14:paraId="27489983"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83%</w:t>
            </w:r>
          </w:p>
        </w:tc>
        <w:tc>
          <w:tcPr>
            <w:tcW w:w="2080" w:type="dxa"/>
            <w:tcBorders>
              <w:top w:val="nil"/>
              <w:left w:val="nil"/>
              <w:bottom w:val="nil"/>
              <w:right w:val="single" w:sz="4" w:space="0" w:color="auto"/>
            </w:tcBorders>
            <w:shd w:val="clear" w:color="000000" w:fill="E8EEF8"/>
            <w:vAlign w:val="center"/>
            <w:hideMark/>
          </w:tcPr>
          <w:p w14:paraId="2735FEBF"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13 p.p.</w:t>
            </w:r>
          </w:p>
        </w:tc>
      </w:tr>
      <w:tr w:rsidR="00837B46" w:rsidRPr="003B7451" w14:paraId="51447878" w14:textId="77777777" w:rsidTr="001814E5">
        <w:trPr>
          <w:trHeight w:val="288"/>
          <w:jc w:val="center"/>
        </w:trPr>
        <w:tc>
          <w:tcPr>
            <w:tcW w:w="4120" w:type="dxa"/>
            <w:tcBorders>
              <w:top w:val="nil"/>
              <w:left w:val="single" w:sz="4" w:space="0" w:color="auto"/>
              <w:bottom w:val="single" w:sz="4" w:space="0" w:color="auto"/>
              <w:right w:val="nil"/>
            </w:tcBorders>
            <w:shd w:val="clear" w:color="000000" w:fill="E8EEF8"/>
            <w:vAlign w:val="center"/>
            <w:hideMark/>
          </w:tcPr>
          <w:p w14:paraId="48910B0B" w14:textId="77777777" w:rsidR="00837B46" w:rsidRPr="003B7451" w:rsidRDefault="00837B46" w:rsidP="00D96F79">
            <w:pPr>
              <w:spacing w:before="80" w:after="80"/>
              <w:rPr>
                <w:rFonts w:eastAsia="Times New Roman" w:cstheme="minorHAnsi"/>
                <w:i/>
                <w:iCs/>
                <w:sz w:val="20"/>
                <w:szCs w:val="20"/>
              </w:rPr>
            </w:pPr>
            <w:r w:rsidRPr="003B7451">
              <w:rPr>
                <w:rFonts w:eastAsia="Times New Roman" w:cstheme="minorHAnsi"/>
                <w:i/>
                <w:iCs/>
                <w:sz w:val="20"/>
                <w:szCs w:val="20"/>
              </w:rPr>
              <w:t>Pupils with Disabilities Share</w:t>
            </w:r>
          </w:p>
        </w:tc>
        <w:tc>
          <w:tcPr>
            <w:tcW w:w="1220" w:type="dxa"/>
            <w:tcBorders>
              <w:top w:val="nil"/>
              <w:left w:val="nil"/>
              <w:bottom w:val="single" w:sz="4" w:space="0" w:color="auto"/>
              <w:right w:val="nil"/>
            </w:tcBorders>
            <w:shd w:val="clear" w:color="000000" w:fill="E8EEF8"/>
            <w:vAlign w:val="center"/>
            <w:hideMark/>
          </w:tcPr>
          <w:p w14:paraId="7F618DE4"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19%</w:t>
            </w:r>
          </w:p>
        </w:tc>
        <w:tc>
          <w:tcPr>
            <w:tcW w:w="1220" w:type="dxa"/>
            <w:tcBorders>
              <w:top w:val="nil"/>
              <w:left w:val="nil"/>
              <w:bottom w:val="single" w:sz="4" w:space="0" w:color="auto"/>
              <w:right w:val="nil"/>
            </w:tcBorders>
            <w:shd w:val="clear" w:color="000000" w:fill="E8EEF8"/>
            <w:vAlign w:val="center"/>
            <w:hideMark/>
          </w:tcPr>
          <w:p w14:paraId="5C8D6F6B"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0%</w:t>
            </w:r>
          </w:p>
        </w:tc>
        <w:tc>
          <w:tcPr>
            <w:tcW w:w="1220" w:type="dxa"/>
            <w:tcBorders>
              <w:top w:val="nil"/>
              <w:left w:val="nil"/>
              <w:bottom w:val="single" w:sz="4" w:space="0" w:color="auto"/>
              <w:right w:val="nil"/>
            </w:tcBorders>
            <w:shd w:val="clear" w:color="000000" w:fill="E8EEF8"/>
            <w:vAlign w:val="center"/>
            <w:hideMark/>
          </w:tcPr>
          <w:p w14:paraId="38F844FF"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50%</w:t>
            </w:r>
          </w:p>
        </w:tc>
        <w:tc>
          <w:tcPr>
            <w:tcW w:w="2080" w:type="dxa"/>
            <w:tcBorders>
              <w:top w:val="nil"/>
              <w:left w:val="nil"/>
              <w:bottom w:val="single" w:sz="4" w:space="0" w:color="auto"/>
              <w:right w:val="single" w:sz="4" w:space="0" w:color="auto"/>
            </w:tcBorders>
            <w:shd w:val="clear" w:color="000000" w:fill="E8EEF8"/>
            <w:vAlign w:val="center"/>
            <w:hideMark/>
          </w:tcPr>
          <w:p w14:paraId="277BBE69" w14:textId="77777777" w:rsidR="00837B46" w:rsidRPr="003B7451" w:rsidRDefault="00837B46" w:rsidP="00D96F79">
            <w:pPr>
              <w:spacing w:before="80" w:after="80"/>
              <w:jc w:val="center"/>
              <w:rPr>
                <w:rFonts w:eastAsia="Times New Roman" w:cstheme="minorHAnsi"/>
                <w:i/>
                <w:iCs/>
                <w:sz w:val="20"/>
                <w:szCs w:val="20"/>
              </w:rPr>
            </w:pPr>
            <w:r w:rsidRPr="003B7451">
              <w:rPr>
                <w:rFonts w:eastAsia="Times New Roman" w:cstheme="minorHAnsi"/>
                <w:i/>
                <w:iCs/>
                <w:sz w:val="20"/>
                <w:szCs w:val="20"/>
              </w:rPr>
              <w:t>7 p.p.</w:t>
            </w:r>
          </w:p>
        </w:tc>
      </w:tr>
    </w:tbl>
    <w:p w14:paraId="4DD84E55" w14:textId="77777777" w:rsidR="001814E5" w:rsidRDefault="001814E5" w:rsidP="001814E5">
      <w:pPr>
        <w:spacing w:after="0" w:line="240" w:lineRule="auto"/>
        <w:rPr>
          <w:i/>
          <w:color w:val="000000" w:themeColor="text1"/>
          <w:sz w:val="20"/>
          <w:szCs w:val="20"/>
        </w:rPr>
      </w:pPr>
    </w:p>
    <w:p w14:paraId="324DB433" w14:textId="45B4AEE6" w:rsidR="00837B46" w:rsidRPr="008F72C9" w:rsidRDefault="00837B46" w:rsidP="00837B46">
      <w:pPr>
        <w:spacing w:after="200"/>
        <w:rPr>
          <w:i/>
          <w:color w:val="000000" w:themeColor="text1"/>
          <w:sz w:val="20"/>
          <w:szCs w:val="20"/>
        </w:rPr>
      </w:pPr>
      <w:r w:rsidRPr="008F72C9">
        <w:rPr>
          <w:i/>
          <w:color w:val="000000" w:themeColor="text1"/>
          <w:sz w:val="20"/>
          <w:szCs w:val="20"/>
        </w:rPr>
        <w:t xml:space="preserve">Using standard deviations allows us to compare the likely increase in spending associated with a </w:t>
      </w:r>
      <w:r w:rsidRPr="008F72C9">
        <w:rPr>
          <w:i/>
          <w:color w:val="000000" w:themeColor="text1"/>
          <w:sz w:val="20"/>
          <w:szCs w:val="20"/>
          <w:u w:val="single"/>
        </w:rPr>
        <w:t>similarly sized increase in any of the three high-need subgroups in a school</w:t>
      </w:r>
      <w:r w:rsidRPr="008F72C9">
        <w:rPr>
          <w:i/>
          <w:color w:val="000000" w:themeColor="text1"/>
          <w:sz w:val="20"/>
          <w:szCs w:val="20"/>
        </w:rPr>
        <w:t xml:space="preserve">. A standard deviation </w:t>
      </w:r>
      <w:proofErr w:type="gramStart"/>
      <w:r w:rsidRPr="008F72C9">
        <w:rPr>
          <w:i/>
          <w:color w:val="000000" w:themeColor="text1"/>
          <w:sz w:val="20"/>
          <w:szCs w:val="20"/>
        </w:rPr>
        <w:t>increase</w:t>
      </w:r>
      <w:proofErr w:type="gramEnd"/>
      <w:r w:rsidRPr="008F72C9">
        <w:rPr>
          <w:i/>
          <w:color w:val="000000" w:themeColor="text1"/>
          <w:sz w:val="20"/>
          <w:szCs w:val="20"/>
        </w:rPr>
        <w:t xml:space="preserve"> in the share of pupils who are economically disadvantaged is equivalent to a 21 percentage-point increase</w:t>
      </w:r>
      <w:r>
        <w:rPr>
          <w:i/>
          <w:color w:val="000000" w:themeColor="text1"/>
          <w:sz w:val="20"/>
          <w:szCs w:val="20"/>
        </w:rPr>
        <w:t xml:space="preserve"> (box figure A)</w:t>
      </w:r>
      <w:r w:rsidRPr="008F72C9">
        <w:rPr>
          <w:i/>
          <w:color w:val="000000" w:themeColor="text1"/>
          <w:sz w:val="20"/>
          <w:szCs w:val="20"/>
        </w:rPr>
        <w:t xml:space="preserve">. This number is large because of the wide variation across schools (from 0 percent to 92 percent) in the share of pupils who are economically disadvantaged (box figure </w:t>
      </w:r>
      <w:r>
        <w:rPr>
          <w:i/>
          <w:color w:val="000000" w:themeColor="text1"/>
          <w:sz w:val="20"/>
          <w:szCs w:val="20"/>
        </w:rPr>
        <w:t>B</w:t>
      </w:r>
      <w:r w:rsidRPr="008F72C9">
        <w:rPr>
          <w:i/>
          <w:color w:val="000000" w:themeColor="text1"/>
          <w:sz w:val="20"/>
          <w:szCs w:val="20"/>
        </w:rPr>
        <w:t>).</w:t>
      </w:r>
      <w:r w:rsidR="000F2FA1">
        <w:rPr>
          <w:i/>
          <w:color w:val="000000" w:themeColor="text1"/>
          <w:sz w:val="20"/>
          <w:szCs w:val="20"/>
          <w:vertAlign w:val="superscript"/>
        </w:rPr>
        <w:t>a</w:t>
      </w:r>
      <w:r w:rsidRPr="008F72C9">
        <w:rPr>
          <w:i/>
          <w:color w:val="000000" w:themeColor="text1"/>
          <w:sz w:val="20"/>
          <w:szCs w:val="20"/>
        </w:rPr>
        <w:t xml:space="preserve"> </w:t>
      </w:r>
      <w:r>
        <w:rPr>
          <w:i/>
          <w:color w:val="000000" w:themeColor="text1"/>
          <w:sz w:val="20"/>
          <w:szCs w:val="20"/>
        </w:rPr>
        <w:t>Although the data are</w:t>
      </w:r>
      <w:r w:rsidR="00966812">
        <w:rPr>
          <w:i/>
          <w:color w:val="000000" w:themeColor="text1"/>
          <w:sz w:val="20"/>
          <w:szCs w:val="20"/>
        </w:rPr>
        <w:t xml:space="preserve"> </w:t>
      </w:r>
      <w:r>
        <w:rPr>
          <w:i/>
          <w:color w:val="000000" w:themeColor="text1"/>
          <w:sz w:val="20"/>
          <w:szCs w:val="20"/>
        </w:rPr>
        <w:t>n</w:t>
      </w:r>
      <w:r w:rsidR="00966812">
        <w:rPr>
          <w:i/>
          <w:color w:val="000000" w:themeColor="text1"/>
          <w:sz w:val="20"/>
          <w:szCs w:val="20"/>
        </w:rPr>
        <w:t>o</w:t>
      </w:r>
      <w:r>
        <w:rPr>
          <w:i/>
          <w:color w:val="000000" w:themeColor="text1"/>
          <w:sz w:val="20"/>
          <w:szCs w:val="20"/>
        </w:rPr>
        <w:t xml:space="preserve">t normally-distributed, standard deviations allow us to show changes of similar magnitude across the range of possible school-level values for economically disadvantaged. </w:t>
      </w:r>
      <w:r w:rsidRPr="008F72C9">
        <w:rPr>
          <w:i/>
          <w:color w:val="000000" w:themeColor="text1"/>
          <w:sz w:val="20"/>
          <w:szCs w:val="20"/>
        </w:rPr>
        <w:t>By contrast, a standard deviation increase for English learners is 13 percentage points, and for pupils with disabilities, 7 percentage points.</w:t>
      </w:r>
    </w:p>
    <w:p w14:paraId="521DCA43" w14:textId="1C42E08A" w:rsidR="00312E64" w:rsidRPr="008F72C9" w:rsidRDefault="001E4583" w:rsidP="007D69D3">
      <w:pPr>
        <w:spacing w:after="200"/>
        <w:jc w:val="center"/>
        <w:rPr>
          <w:rFonts w:cstheme="minorHAnsi"/>
          <w:b/>
          <w:i/>
          <w:sz w:val="20"/>
          <w:szCs w:val="20"/>
        </w:rPr>
      </w:pPr>
      <w:r w:rsidRPr="008F72C9">
        <w:rPr>
          <w:b/>
          <w:i/>
          <w:color w:val="000000" w:themeColor="text1"/>
          <w:sz w:val="20"/>
          <w:szCs w:val="20"/>
        </w:rPr>
        <w:t xml:space="preserve">Figure </w:t>
      </w:r>
      <w:r w:rsidR="00837B46">
        <w:rPr>
          <w:b/>
          <w:i/>
          <w:color w:val="000000" w:themeColor="text1"/>
          <w:sz w:val="20"/>
          <w:szCs w:val="20"/>
        </w:rPr>
        <w:t>B</w:t>
      </w:r>
      <w:r w:rsidRPr="008F72C9">
        <w:rPr>
          <w:b/>
          <w:i/>
          <w:color w:val="000000" w:themeColor="text1"/>
          <w:sz w:val="20"/>
          <w:szCs w:val="20"/>
        </w:rPr>
        <w:t>.   Standard Deviations for Shares of Economically Disadvantaged Pupils</w:t>
      </w:r>
    </w:p>
    <w:p w14:paraId="05154162" w14:textId="1D8BA65B" w:rsidR="003B7451" w:rsidRPr="003B7451" w:rsidRDefault="004D49BB" w:rsidP="007D69D3">
      <w:pPr>
        <w:spacing w:after="200"/>
        <w:jc w:val="center"/>
        <w:rPr>
          <w:color w:val="000000" w:themeColor="text1"/>
          <w:sz w:val="20"/>
          <w:szCs w:val="20"/>
        </w:rPr>
      </w:pPr>
      <w:r>
        <w:rPr>
          <w:rFonts w:cstheme="minorHAnsi"/>
          <w:noProof/>
        </w:rPr>
        <w:drawing>
          <wp:inline distT="0" distB="0" distL="0" distR="0" wp14:anchorId="1179B65F" wp14:editId="79495428">
            <wp:extent cx="4102735" cy="2760995"/>
            <wp:effectExtent l="0" t="0" r="0" b="1270"/>
            <wp:docPr id="24" name="Picture 24" descr="Figure B: This is a histogram that shows the distribution of economically disadvantaged students in schools across Massachusetts, showing the mean and standard deviation cuto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6925" cy="2790733"/>
                    </a:xfrm>
                    <a:prstGeom prst="rect">
                      <a:avLst/>
                    </a:prstGeom>
                    <a:noFill/>
                  </pic:spPr>
                </pic:pic>
              </a:graphicData>
            </a:graphic>
          </wp:inline>
        </w:drawing>
      </w:r>
    </w:p>
    <w:p w14:paraId="62465315" w14:textId="6C024A75" w:rsidR="001E4583" w:rsidRDefault="001E4583" w:rsidP="005103BE">
      <w:pPr>
        <w:spacing w:before="120" w:after="200"/>
        <w:rPr>
          <w:i/>
          <w:sz w:val="20"/>
          <w:szCs w:val="20"/>
        </w:rPr>
      </w:pPr>
      <w:r w:rsidRPr="005103BE">
        <w:rPr>
          <w:i/>
          <w:color w:val="000000" w:themeColor="text1"/>
          <w:sz w:val="20"/>
          <w:szCs w:val="20"/>
        </w:rPr>
        <w:t xml:space="preserve">The comparisons that follow use regression analyses with standard deviations and control for factors that affect school spending, such as grade span and student need subgroups. Using this approach, we can account for the fact that different schools serve different grade spans and different student populations and then evaluate the relationship between each factor and per pupil spending. These analyses do not, however, adjust for all factors that might drive spending. For example, they </w:t>
      </w:r>
      <w:r w:rsidRPr="005103BE">
        <w:rPr>
          <w:i/>
          <w:sz w:val="20"/>
          <w:szCs w:val="20"/>
        </w:rPr>
        <w:t xml:space="preserve">do not account for the tenure and seniority of teaching staff, which may affect teaching expenditures in each school, or an individual school’s need to provide specialized student services, such as support for homeless students or for students with more severe special needs. </w:t>
      </w:r>
    </w:p>
    <w:p w14:paraId="2EEF5487" w14:textId="57D664D5" w:rsidR="00925A19" w:rsidRPr="005103BE" w:rsidRDefault="000F2FA1" w:rsidP="005103BE">
      <w:pPr>
        <w:spacing w:before="120" w:after="200"/>
        <w:rPr>
          <w:i/>
          <w:sz w:val="20"/>
          <w:szCs w:val="20"/>
        </w:rPr>
      </w:pPr>
      <w:r w:rsidRPr="00A754A0">
        <w:rPr>
          <w:i/>
          <w:sz w:val="20"/>
          <w:szCs w:val="20"/>
          <w:vertAlign w:val="superscript"/>
        </w:rPr>
        <w:t>a</w:t>
      </w:r>
      <w:r>
        <w:rPr>
          <w:i/>
          <w:sz w:val="20"/>
          <w:szCs w:val="20"/>
          <w:vertAlign w:val="superscript"/>
        </w:rPr>
        <w:t xml:space="preserve"> </w:t>
      </w:r>
      <w:r>
        <w:rPr>
          <w:i/>
          <w:sz w:val="20"/>
          <w:szCs w:val="20"/>
        </w:rPr>
        <w:t>No</w:t>
      </w:r>
      <w:r w:rsidR="00925A19">
        <w:rPr>
          <w:i/>
          <w:sz w:val="20"/>
          <w:szCs w:val="20"/>
        </w:rPr>
        <w:t xml:space="preserve">te that </w:t>
      </w:r>
      <w:r>
        <w:rPr>
          <w:i/>
          <w:sz w:val="20"/>
          <w:szCs w:val="20"/>
        </w:rPr>
        <w:t xml:space="preserve">because </w:t>
      </w:r>
      <w:r w:rsidR="00925A19">
        <w:rPr>
          <w:i/>
          <w:sz w:val="20"/>
          <w:szCs w:val="20"/>
        </w:rPr>
        <w:t>this analysis does not include students enrolled in charter schools</w:t>
      </w:r>
      <w:r w:rsidR="00436CE8">
        <w:rPr>
          <w:i/>
          <w:sz w:val="20"/>
          <w:szCs w:val="20"/>
        </w:rPr>
        <w:t>,</w:t>
      </w:r>
      <w:r w:rsidR="002F6F3D">
        <w:rPr>
          <w:i/>
          <w:sz w:val="20"/>
          <w:szCs w:val="20"/>
        </w:rPr>
        <w:t xml:space="preserve"> the share of students enrolled in schools with the highest concentrations of poverty is lower than it would be if they were included.</w:t>
      </w:r>
    </w:p>
    <w:p w14:paraId="4FAC6659" w14:textId="3A0B8A6E" w:rsidR="00A55DD9" w:rsidRDefault="00A55DD9" w:rsidP="007D69D3">
      <w:pPr>
        <w:spacing w:after="200"/>
        <w:rPr>
          <w:rFonts w:cstheme="minorHAnsi"/>
        </w:rPr>
      </w:pPr>
    </w:p>
    <w:p w14:paraId="58ECDE67" w14:textId="77777777" w:rsidR="00A55DD9" w:rsidRDefault="00A55DD9" w:rsidP="007D69D3">
      <w:pPr>
        <w:spacing w:after="200"/>
        <w:rPr>
          <w:rFonts w:cstheme="minorHAnsi"/>
        </w:rPr>
        <w:sectPr w:rsidR="00A55DD9" w:rsidSect="00780CBF">
          <w:type w:val="continuous"/>
          <w:pgSz w:w="12240" w:h="15840"/>
          <w:pgMar w:top="720" w:right="720" w:bottom="630" w:left="990" w:header="720" w:footer="720" w:gutter="0"/>
          <w:cols w:space="720"/>
          <w:docGrid w:linePitch="360"/>
        </w:sectPr>
      </w:pPr>
    </w:p>
    <w:p w14:paraId="00621F78" w14:textId="4F8E9EA9" w:rsidR="00436846" w:rsidRPr="00E2482A" w:rsidRDefault="00A03A90" w:rsidP="007D69D3">
      <w:pPr>
        <w:keepNext/>
        <w:keepLines/>
        <w:spacing w:before="200" w:after="200"/>
        <w:outlineLvl w:val="2"/>
        <w:rPr>
          <w:rFonts w:ascii="Georgia" w:hAnsi="Georgia" w:cstheme="minorHAnsi"/>
          <w:b/>
          <w:i/>
          <w:color w:val="004386"/>
        </w:rPr>
      </w:pPr>
      <w:r>
        <w:rPr>
          <w:rFonts w:ascii="Georgia" w:hAnsi="Georgia" w:cstheme="minorHAnsi"/>
          <w:b/>
          <w:i/>
          <w:color w:val="004386"/>
        </w:rPr>
        <w:t>Within districts, schools with higher shares of student need spend more per pupil.</w:t>
      </w:r>
    </w:p>
    <w:p w14:paraId="4946F7E6" w14:textId="0797739B" w:rsidR="00A03A90" w:rsidRDefault="00A03A90" w:rsidP="007D69D3">
      <w:pPr>
        <w:spacing w:after="200"/>
      </w:pPr>
      <w:r>
        <w:t>Our first analysis looks at average differences in school spending within each school district in Massachusetts.</w:t>
      </w:r>
      <w:r w:rsidRPr="00FC48BE">
        <w:t xml:space="preserve"> </w:t>
      </w:r>
      <w:r>
        <w:t>To examine school-level expenditures within districts, we c</w:t>
      </w:r>
      <w:r w:rsidRPr="00CD78E3">
        <w:t xml:space="preserve">ontrol for grade span to account for differences in spending that may be </w:t>
      </w:r>
      <w:r>
        <w:t>because of</w:t>
      </w:r>
      <w:r w:rsidRPr="00CD78E3">
        <w:t xml:space="preserve"> the grades of students served</w:t>
      </w:r>
      <w:r>
        <w:t>, and we control for the share of high-need groups in each school</w:t>
      </w:r>
      <w:r w:rsidRPr="00CD78E3">
        <w:t xml:space="preserve">. </w:t>
      </w:r>
      <w:r>
        <w:t>Because we look at differences within school districts, districts with only one school in a grade span do not contribute to our estimates of spending for subgroups of student need within districts.</w:t>
      </w:r>
    </w:p>
    <w:p w14:paraId="42A10F51" w14:textId="67CE7588" w:rsidR="00A03A90" w:rsidRDefault="00A03A90" w:rsidP="007D69D3">
      <w:pPr>
        <w:spacing w:after="200"/>
      </w:pPr>
      <w:r>
        <w:t>W</w:t>
      </w:r>
      <w:r w:rsidRPr="00E47693">
        <w:t>e</w:t>
      </w:r>
      <w:r>
        <w:t xml:space="preserve"> woul</w:t>
      </w:r>
      <w:r w:rsidRPr="00E47693">
        <w:t>d expect that a school with a high share of economically</w:t>
      </w:r>
      <w:r>
        <w:t xml:space="preserve"> </w:t>
      </w:r>
      <w:r w:rsidRPr="00E47693">
        <w:t xml:space="preserve">disadvantaged </w:t>
      </w:r>
      <w:r>
        <w:t>pupils</w:t>
      </w:r>
      <w:r w:rsidRPr="00E47693">
        <w:t xml:space="preserve"> and a high share of English learners might spend more than a school with a high share of economically</w:t>
      </w:r>
      <w:r>
        <w:t xml:space="preserve"> </w:t>
      </w:r>
      <w:r w:rsidRPr="00E47693">
        <w:t xml:space="preserve">disadvantaged </w:t>
      </w:r>
      <w:r>
        <w:t>pupils</w:t>
      </w:r>
      <w:r w:rsidRPr="00E47693">
        <w:t xml:space="preserve"> and a low share of English learners. To disentangle these relationships, we control for differences in the </w:t>
      </w:r>
      <w:r w:rsidRPr="00636876">
        <w:t xml:space="preserve">share of all three types of student need at </w:t>
      </w:r>
      <w:r>
        <w:t>a</w:t>
      </w:r>
      <w:r w:rsidRPr="00636876">
        <w:t xml:space="preserve"> school. With this analysis, we can estimate, for example, whether schools within a district that </w:t>
      </w:r>
      <w:r>
        <w:t xml:space="preserve">have </w:t>
      </w:r>
      <w:r w:rsidRPr="00636876">
        <w:t xml:space="preserve">the same share of economically </w:t>
      </w:r>
      <w:r w:rsidRPr="00E47693">
        <w:t xml:space="preserve">disadvantaged </w:t>
      </w:r>
      <w:r>
        <w:t>pupil</w:t>
      </w:r>
      <w:r w:rsidRPr="00E47693">
        <w:t xml:space="preserve">s spend more when they have higher shares of English learners or </w:t>
      </w:r>
      <w:r>
        <w:t>pupil</w:t>
      </w:r>
      <w:r w:rsidRPr="00E47693">
        <w:t>s with disabilities.</w:t>
      </w:r>
    </w:p>
    <w:p w14:paraId="37D56B52" w14:textId="76419A1B" w:rsidR="00A03A90" w:rsidRDefault="00A03A90" w:rsidP="007D69D3">
      <w:pPr>
        <w:spacing w:after="200"/>
      </w:pPr>
      <w:r>
        <w:t xml:space="preserve">Within districts, </w:t>
      </w:r>
      <w:r w:rsidRPr="00E47693">
        <w:t xml:space="preserve">schools </w:t>
      </w:r>
      <w:r>
        <w:t xml:space="preserve">tend to </w:t>
      </w:r>
      <w:r w:rsidRPr="00E47693">
        <w:t xml:space="preserve">spend more as the share of economically disadvantaged </w:t>
      </w:r>
      <w:r>
        <w:t>pupil</w:t>
      </w:r>
      <w:r w:rsidRPr="00E47693">
        <w:t xml:space="preserve">s, </w:t>
      </w:r>
      <w:r>
        <w:t>pupil</w:t>
      </w:r>
      <w:r w:rsidRPr="00E47693">
        <w:t>s with disabilities, and Engl</w:t>
      </w:r>
      <w:r>
        <w:t>ish learners increases.</w:t>
      </w:r>
    </w:p>
    <w:p w14:paraId="4FF58106" w14:textId="299C094F" w:rsidR="002F6F3D" w:rsidRDefault="00A03A90" w:rsidP="007D69D3">
      <w:pPr>
        <w:spacing w:after="200"/>
      </w:pPr>
      <w:r w:rsidRPr="00E74C85">
        <w:rPr>
          <w:b/>
        </w:rPr>
        <w:t>Figure 8</w:t>
      </w:r>
      <w:r>
        <w:t xml:space="preserve"> shows the increase in per pupil school-level spending associated with greater enrollment of different groups of students. These results show that, </w:t>
      </w:r>
      <w:r>
        <w:t xml:space="preserve">for example, </w:t>
      </w:r>
      <w:r w:rsidRPr="00835094">
        <w:t>within the same grade span</w:t>
      </w:r>
      <w:r w:rsidRPr="00AD5F4F">
        <w:t xml:space="preserve">, </w:t>
      </w:r>
      <w:r>
        <w:t>a school that has a 1 standard deviation (21 percentage-point) higher share of economically disadvantaged pupils spends, on average, $171 more per pupil relative to a school in the same district with similar shares of pupils with disabilities and English learners.</w:t>
      </w:r>
      <w:r w:rsidR="0005341D">
        <w:t xml:space="preserve"> </w:t>
      </w:r>
      <w:r w:rsidR="0005341D" w:rsidRPr="0005341D">
        <w:t>Similarly, a 1 standard deviation (7 percentage-point) increase in the share of pupils with disabilities is associated with schools spending $572 more per pupil, holding all else equal. And a 1 standard deviation (13 percentage-point) increase in the share of English learners is associated with a $109 per pupil increase in spending.</w:t>
      </w:r>
    </w:p>
    <w:p w14:paraId="4B2117FE" w14:textId="2C0EDA4C" w:rsidR="00A03A90" w:rsidRDefault="00AE2418" w:rsidP="007D69D3">
      <w:pPr>
        <w:spacing w:after="200"/>
      </w:pPr>
      <w:r>
        <w:t xml:space="preserve">These results provide a broad view of trends in school spending within districts </w:t>
      </w:r>
      <w:r w:rsidR="00D064BF">
        <w:t xml:space="preserve">that may </w:t>
      </w:r>
      <w:r>
        <w:t xml:space="preserve">not </w:t>
      </w:r>
      <w:r w:rsidR="00D064BF">
        <w:t>always align with what we would expect</w:t>
      </w:r>
      <w:r>
        <w:t xml:space="preserve">. </w:t>
      </w:r>
      <w:r w:rsidR="0005341D">
        <w:t>If</w:t>
      </w:r>
      <w:r>
        <w:t>, for example,</w:t>
      </w:r>
      <w:r w:rsidR="0005341D">
        <w:t xml:space="preserve"> the state calculated a foundation budget for each school (which it does not), we </w:t>
      </w:r>
      <w:r w:rsidR="00D064BF">
        <w:t xml:space="preserve">would </w:t>
      </w:r>
      <w:r w:rsidR="0005341D">
        <w:t>assume a higher level of spending variation within districts between schools with lower and higher concentrations of poverty than what this analysis shows.</w:t>
      </w:r>
      <w:r>
        <w:t xml:space="preserve"> </w:t>
      </w:r>
      <w:r w:rsidR="003B1601">
        <w:t>N</w:t>
      </w:r>
      <w:r w:rsidR="00A03A90">
        <w:t xml:space="preserve">ot all districts </w:t>
      </w:r>
      <w:r w:rsidR="003B1601">
        <w:t xml:space="preserve">may </w:t>
      </w:r>
      <w:r w:rsidR="00A03A90">
        <w:t>fit this pattern</w:t>
      </w:r>
      <w:r w:rsidR="00D064BF">
        <w:t xml:space="preserve"> for a variety of reasons, including </w:t>
      </w:r>
      <w:r w:rsidR="00AF7453">
        <w:t xml:space="preserve">limited resources, </w:t>
      </w:r>
      <w:r w:rsidR="00D064BF">
        <w:t>contractual obligations</w:t>
      </w:r>
      <w:r w:rsidR="00AF7453">
        <w:t>,</w:t>
      </w:r>
      <w:r w:rsidR="00D064BF">
        <w:t xml:space="preserve"> and historic spending trends</w:t>
      </w:r>
      <w:r w:rsidR="00A03A90">
        <w:t>.</w:t>
      </w:r>
      <w:r w:rsidR="00097C2E">
        <w:t xml:space="preserve"> Further, it is unclear to what </w:t>
      </w:r>
      <w:r w:rsidR="004F1C50">
        <w:t>extent</w:t>
      </w:r>
      <w:r w:rsidR="004F1C50" w:rsidRPr="004F1C50">
        <w:t xml:space="preserve"> additio</w:t>
      </w:r>
      <w:r w:rsidR="004F1C50">
        <w:t>nal spending meets student need</w:t>
      </w:r>
      <w:r w:rsidR="004F1C50" w:rsidRPr="004F1C50">
        <w:t xml:space="preserve"> in the variety of circumstances found in districts, nor what may allow similar districts to spend similar amounts and have different impacts on student learning</w:t>
      </w:r>
      <w:r w:rsidR="00302578">
        <w:t xml:space="preserve">. </w:t>
      </w:r>
    </w:p>
    <w:p w14:paraId="2D38ED14" w14:textId="77777777" w:rsidR="007B4441" w:rsidRDefault="007B4441" w:rsidP="007D69D3">
      <w:pPr>
        <w:spacing w:after="200"/>
      </w:pPr>
    </w:p>
    <w:p w14:paraId="5D3C9D15" w14:textId="34F06AEF" w:rsidR="00436846" w:rsidRDefault="00436846" w:rsidP="007D69D3">
      <w:pPr>
        <w:spacing w:after="200"/>
        <w:rPr>
          <w:rFonts w:cstheme="minorHAnsi"/>
        </w:rPr>
      </w:pPr>
    </w:p>
    <w:p w14:paraId="4C1AC102" w14:textId="77777777" w:rsidR="00A03A90" w:rsidRDefault="00A03A90" w:rsidP="007D69D3">
      <w:pPr>
        <w:spacing w:after="200"/>
        <w:rPr>
          <w:rFonts w:cstheme="minorHAnsi"/>
        </w:rPr>
        <w:sectPr w:rsidR="00A03A90" w:rsidSect="00312E64">
          <w:type w:val="continuous"/>
          <w:pgSz w:w="12240" w:h="15840"/>
          <w:pgMar w:top="720" w:right="720" w:bottom="720" w:left="720" w:header="720" w:footer="720" w:gutter="0"/>
          <w:cols w:num="2" w:space="720"/>
          <w:docGrid w:linePitch="360"/>
        </w:sectPr>
      </w:pPr>
    </w:p>
    <w:p w14:paraId="2BF1EC46" w14:textId="77777777" w:rsidR="008B126E" w:rsidRDefault="008B126E">
      <w:pPr>
        <w:rPr>
          <w:rFonts w:cstheme="minorHAnsi"/>
          <w:b/>
        </w:rPr>
      </w:pPr>
      <w:r>
        <w:rPr>
          <w:rFonts w:cstheme="minorHAnsi"/>
          <w:b/>
        </w:rPr>
        <w:br w:type="page"/>
      </w:r>
    </w:p>
    <w:p w14:paraId="0643215A" w14:textId="537AE00B" w:rsidR="00A03A90" w:rsidRDefault="00A03A90" w:rsidP="007D69D3">
      <w:pPr>
        <w:spacing w:after="200"/>
        <w:rPr>
          <w:rFonts w:cstheme="minorHAnsi"/>
          <w:b/>
        </w:rPr>
      </w:pPr>
      <w:r w:rsidRPr="00A03A90">
        <w:rPr>
          <w:rFonts w:cstheme="minorHAnsi"/>
          <w:b/>
        </w:rPr>
        <w:lastRenderedPageBreak/>
        <w:t>Figure 8.   Looking at all three student subgroups together—economically disadvantaged pupils, pupils with disabilities, and English learners—we find that districts spend more on schools that have higher shares of these needs</w:t>
      </w:r>
    </w:p>
    <w:p w14:paraId="3ED38443" w14:textId="24728400" w:rsidR="00A03A90" w:rsidRDefault="00895C8B" w:rsidP="004D49BB">
      <w:pPr>
        <w:spacing w:after="200"/>
        <w:jc w:val="center"/>
        <w:rPr>
          <w:rFonts w:cstheme="minorHAnsi"/>
        </w:rPr>
      </w:pPr>
      <w:r>
        <w:rPr>
          <w:rFonts w:cstheme="minorHAnsi"/>
          <w:noProof/>
        </w:rPr>
        <w:drawing>
          <wp:inline distT="0" distB="0" distL="0" distR="0" wp14:anchorId="47CB5F78" wp14:editId="5CA6D37F">
            <wp:extent cx="5712460" cy="2755900"/>
            <wp:effectExtent l="0" t="0" r="2540" b="6350"/>
            <wp:docPr id="2" name="Picture 2" descr="Figure 8: This is a bar graph that shows the estimated additional school level per pupil spending within districts per standard deviation increase in the share of each subgroup population.&#10;&#10;Economically disadvantaged students: $171 more per pupil&#10;Pupils with disabilities: $572 more per pupil&#10;English learners: $109 more per pupil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2460" cy="2755900"/>
                    </a:xfrm>
                    <a:prstGeom prst="rect">
                      <a:avLst/>
                    </a:prstGeom>
                    <a:noFill/>
                  </pic:spPr>
                </pic:pic>
              </a:graphicData>
            </a:graphic>
          </wp:inline>
        </w:drawing>
      </w:r>
    </w:p>
    <w:p w14:paraId="7759A70B" w14:textId="0DABADDF" w:rsidR="00A03A90" w:rsidRDefault="00A03A90" w:rsidP="007D69D3">
      <w:pPr>
        <w:spacing w:after="200"/>
        <w:rPr>
          <w:rFonts w:cstheme="minorHAnsi"/>
        </w:rPr>
        <w:sectPr w:rsidR="00A03A90" w:rsidSect="00A03A90">
          <w:type w:val="continuous"/>
          <w:pgSz w:w="12240" w:h="15840"/>
          <w:pgMar w:top="720" w:right="720" w:bottom="720" w:left="720" w:header="720" w:footer="720" w:gutter="0"/>
          <w:cols w:space="720"/>
          <w:docGrid w:linePitch="360"/>
        </w:sectPr>
      </w:pPr>
    </w:p>
    <w:p w14:paraId="6CD07FE0" w14:textId="31B40554" w:rsidR="004B0415" w:rsidRPr="00E2482A" w:rsidRDefault="00A03A90" w:rsidP="007D69D3">
      <w:pPr>
        <w:keepNext/>
        <w:keepLines/>
        <w:spacing w:after="200"/>
        <w:outlineLvl w:val="2"/>
        <w:rPr>
          <w:rFonts w:ascii="Georgia" w:hAnsi="Georgia" w:cstheme="minorHAnsi"/>
          <w:b/>
          <w:i/>
          <w:color w:val="004386"/>
        </w:rPr>
      </w:pPr>
      <w:r>
        <w:rPr>
          <w:rFonts w:ascii="Georgia" w:hAnsi="Georgia" w:cstheme="minorHAnsi"/>
          <w:b/>
          <w:i/>
          <w:color w:val="004386"/>
        </w:rPr>
        <w:t xml:space="preserve">Across the state, schools with higher shares of </w:t>
      </w:r>
      <w:r w:rsidR="008563FF">
        <w:rPr>
          <w:rFonts w:ascii="Georgia" w:hAnsi="Georgia" w:cstheme="minorHAnsi"/>
          <w:b/>
          <w:i/>
          <w:color w:val="004386"/>
        </w:rPr>
        <w:t>economically disadvantaged</w:t>
      </w:r>
      <w:r>
        <w:rPr>
          <w:rFonts w:ascii="Georgia" w:hAnsi="Georgia" w:cstheme="minorHAnsi"/>
          <w:b/>
          <w:i/>
          <w:color w:val="004386"/>
        </w:rPr>
        <w:t xml:space="preserve"> students spend </w:t>
      </w:r>
      <w:r w:rsidR="008563FF">
        <w:rPr>
          <w:rFonts w:ascii="Georgia" w:hAnsi="Georgia" w:cstheme="minorHAnsi"/>
          <w:b/>
          <w:i/>
          <w:color w:val="004386"/>
        </w:rPr>
        <w:t xml:space="preserve">less </w:t>
      </w:r>
      <w:r>
        <w:rPr>
          <w:rFonts w:ascii="Georgia" w:hAnsi="Georgia" w:cstheme="minorHAnsi"/>
          <w:b/>
          <w:i/>
          <w:color w:val="004386"/>
        </w:rPr>
        <w:t xml:space="preserve">per pupil, </w:t>
      </w:r>
      <w:r w:rsidR="008563FF">
        <w:rPr>
          <w:rFonts w:ascii="Georgia" w:hAnsi="Georgia" w:cstheme="minorHAnsi"/>
          <w:b/>
          <w:i/>
          <w:color w:val="004386"/>
        </w:rPr>
        <w:t xml:space="preserve">unless </w:t>
      </w:r>
      <w:r>
        <w:rPr>
          <w:rFonts w:ascii="Georgia" w:hAnsi="Georgia" w:cstheme="minorHAnsi"/>
          <w:b/>
          <w:i/>
          <w:color w:val="004386"/>
        </w:rPr>
        <w:t>we account for local labor costs.</w:t>
      </w:r>
    </w:p>
    <w:p w14:paraId="04F00C93" w14:textId="6521A3B9" w:rsidR="00A03A90" w:rsidRDefault="00A03A90" w:rsidP="007D69D3">
      <w:pPr>
        <w:spacing w:after="200"/>
      </w:pPr>
      <w:r>
        <w:t xml:space="preserve">Within districts, </w:t>
      </w:r>
      <w:r w:rsidRPr="009B6C24">
        <w:t xml:space="preserve">schools with higher shares of </w:t>
      </w:r>
      <w:r>
        <w:t>pupil</w:t>
      </w:r>
      <w:r w:rsidRPr="009B6C24">
        <w:t>s who are economically disadvantaged, have disabilities</w:t>
      </w:r>
      <w:r>
        <w:t>, or are</w:t>
      </w:r>
      <w:r w:rsidRPr="009B6C24">
        <w:t xml:space="preserve"> English learners</w:t>
      </w:r>
      <w:r>
        <w:t xml:space="preserve"> tend to</w:t>
      </w:r>
      <w:r w:rsidRPr="009B6C24">
        <w:t xml:space="preserve"> spend more</w:t>
      </w:r>
      <w:r>
        <w:t xml:space="preserve">. </w:t>
      </w:r>
      <w:r w:rsidR="004F1C50" w:rsidRPr="004F1C50">
        <w:t xml:space="preserve">However, </w:t>
      </w:r>
      <w:r w:rsidR="004F1C50">
        <w:t>although</w:t>
      </w:r>
      <w:r w:rsidR="004F1C50" w:rsidRPr="004F1C50">
        <w:t xml:space="preserve"> a given district may spend more in schools with higher shares of student need, all schools in th</w:t>
      </w:r>
      <w:r w:rsidR="004F1C50">
        <w:t>e</w:t>
      </w:r>
      <w:r w:rsidR="004F1C50" w:rsidRPr="004F1C50">
        <w:t xml:space="preserve"> district may have lower levels of spending than schools in other districts.</w:t>
      </w:r>
    </w:p>
    <w:p w14:paraId="55DD1C37" w14:textId="0BB33F1E" w:rsidR="004F1C50" w:rsidRDefault="004F1C50" w:rsidP="007D69D3">
      <w:pPr>
        <w:spacing w:after="200"/>
      </w:pPr>
      <w:r>
        <w:t>Previous analysis has shown that d</w:t>
      </w:r>
      <w:r w:rsidRPr="004F1C50">
        <w:t>istricts with higher local incomes and property valuations tend to spend more</w:t>
      </w:r>
      <w:r>
        <w:t xml:space="preserve"> on average</w:t>
      </w:r>
      <w:r w:rsidRPr="004F1C50">
        <w:t xml:space="preserve">, while other districts are funded locally at a level closer to the minimum required by the Chapter 70 aid program. </w:t>
      </w:r>
      <w:r w:rsidR="00EE21B9">
        <w:t>State</w:t>
      </w:r>
      <w:r w:rsidR="008563FF">
        <w:t>wide s</w:t>
      </w:r>
      <w:r w:rsidRPr="004F1C50">
        <w:t>chool-level spending relative to higher shares of needy students could be affected by the constraints that some district leaders face in terms of funding from state and local sources.</w:t>
      </w:r>
    </w:p>
    <w:p w14:paraId="03FCF383" w14:textId="7C2D41CE" w:rsidR="004F1C50" w:rsidRDefault="00A03A90" w:rsidP="004F1C50">
      <w:pPr>
        <w:spacing w:after="200"/>
      </w:pPr>
      <w:r>
        <w:t xml:space="preserve">Our next analysis looks at spending differences </w:t>
      </w:r>
      <w:r w:rsidRPr="00B57A68">
        <w:t>across</w:t>
      </w:r>
      <w:r>
        <w:t xml:space="preserve"> the state, rather than looking at within-district differences.</w:t>
      </w:r>
      <w:r w:rsidR="004F1C50">
        <w:t xml:space="preserve"> </w:t>
      </w:r>
      <w:r w:rsidRPr="00FC48BE">
        <w:t xml:space="preserve">The </w:t>
      </w:r>
      <w:r>
        <w:t>blue</w:t>
      </w:r>
      <w:r w:rsidRPr="00FC48BE">
        <w:t xml:space="preserve"> bars in </w:t>
      </w:r>
      <w:r w:rsidRPr="00E74C85">
        <w:rPr>
          <w:b/>
        </w:rPr>
        <w:t>figure 9</w:t>
      </w:r>
      <w:r w:rsidRPr="00FC48BE">
        <w:t xml:space="preserve"> show the association between school per</w:t>
      </w:r>
      <w:r>
        <w:t xml:space="preserve"> </w:t>
      </w:r>
      <w:r w:rsidRPr="00FC48BE">
        <w:t xml:space="preserve">pupil spending and our three student need subgroups. </w:t>
      </w:r>
      <w:r w:rsidR="004F1C50">
        <w:t xml:space="preserve">They show that schools with higher shares of economically disadvantaged pupils spend </w:t>
      </w:r>
      <w:r w:rsidR="004F1C50">
        <w:rPr>
          <w:i/>
        </w:rPr>
        <w:t>less</w:t>
      </w:r>
      <w:r w:rsidR="004F1C50">
        <w:t xml:space="preserve"> per pupil if we only control for grade span </w:t>
      </w:r>
      <w:r w:rsidR="004F1C50">
        <w:t xml:space="preserve">spending differences, $505 per pupil less on average when the share of economically disadvantaged students increases by one standard deviation (21 percentage points). </w:t>
      </w:r>
      <w:r w:rsidR="00903656">
        <w:t xml:space="preserve">However, as shown in Figure 2 above, </w:t>
      </w:r>
      <w:r w:rsidRPr="00FC48BE">
        <w:t>local labor costs</w:t>
      </w:r>
      <w:r>
        <w:t xml:space="preserve"> </w:t>
      </w:r>
      <w:r w:rsidRPr="00FC48BE">
        <w:t>vary across the state</w:t>
      </w:r>
      <w:r w:rsidR="00903656">
        <w:t>, which could affect the resources available for the same dollars</w:t>
      </w:r>
      <w:r w:rsidRPr="00FC48BE">
        <w:t xml:space="preserve">. The </w:t>
      </w:r>
      <w:r>
        <w:t>orange</w:t>
      </w:r>
      <w:r w:rsidRPr="00FC48BE">
        <w:t xml:space="preserve"> bar</w:t>
      </w:r>
      <w:r>
        <w:t xml:space="preserve">s show predicted per pupil </w:t>
      </w:r>
      <w:r w:rsidRPr="00FC48BE">
        <w:t xml:space="preserve">school spending when controlling for local labor costs. </w:t>
      </w:r>
      <w:r w:rsidR="004F1C50">
        <w:t xml:space="preserve">On average, </w:t>
      </w:r>
      <w:r w:rsidR="004F1C50">
        <w:rPr>
          <w:i/>
        </w:rPr>
        <w:t>allowing for local labor costs</w:t>
      </w:r>
      <w:r w:rsidR="004F1C50">
        <w:t xml:space="preserve">, schools spend about $290 more per pupil when the share of economically disadvantaged students increases by one standard deviation.  </w:t>
      </w:r>
    </w:p>
    <w:p w14:paraId="35460CDC" w14:textId="57B76D26" w:rsidR="008234F5" w:rsidRDefault="008234F5" w:rsidP="008234F5">
      <w:pPr>
        <w:spacing w:after="200"/>
      </w:pPr>
      <w:r>
        <w:t xml:space="preserve">For English learners, per pupil spending decreases after accounting for local labor costs. When the share of English learners increases by one standard deviation (13 percentage points), the blue bar indicates that spending tends to increase by $942 on average if we only take grade span into account, but </w:t>
      </w:r>
      <w:r w:rsidR="00903656">
        <w:t xml:space="preserve">after </w:t>
      </w:r>
      <w:r>
        <w:t>adding a control for local labor costs schools spend only $335 more on average. One possible reason for this finding that a large share of the state’s English learners may be enrolled in districts with high local labor costs, such as in the greater Boston area.</w:t>
      </w:r>
    </w:p>
    <w:p w14:paraId="4E1A4EAB" w14:textId="4C7E8C25" w:rsidR="008234F5" w:rsidRDefault="008234F5" w:rsidP="008234F5">
      <w:r>
        <w:t xml:space="preserve">Without labor cost controls, data on spending in </w:t>
      </w:r>
      <w:r>
        <w:rPr>
          <w:iCs/>
        </w:rPr>
        <w:t>schools</w:t>
      </w:r>
      <w:r>
        <w:t xml:space="preserve"> across the state indicates that </w:t>
      </w:r>
      <w:r>
        <w:rPr>
          <w:iCs/>
        </w:rPr>
        <w:t>districts</w:t>
      </w:r>
      <w:r>
        <w:t xml:space="preserve"> with higher shares of economically disadvantaged students tend to spend less in their schools overall. Despite higher state aid allocations to districts with higher need, </w:t>
      </w:r>
      <w:r w:rsidR="00903656">
        <w:t xml:space="preserve">spending in </w:t>
      </w:r>
      <w:r w:rsidR="00903656">
        <w:lastRenderedPageBreak/>
        <w:t xml:space="preserve">schools depends also on the level to which </w:t>
      </w:r>
      <w:r>
        <w:t xml:space="preserve">municipalities </w:t>
      </w:r>
      <w:r w:rsidR="00903656">
        <w:t xml:space="preserve">choose to </w:t>
      </w:r>
      <w:r>
        <w:t xml:space="preserve">fund their school districts above </w:t>
      </w:r>
      <w:r w:rsidR="00903656">
        <w:t xml:space="preserve">the required </w:t>
      </w:r>
      <w:r>
        <w:t>minimum. Lower district labor costs are</w:t>
      </w:r>
      <w:r w:rsidR="00114EAF">
        <w:t xml:space="preserve"> also</w:t>
      </w:r>
      <w:r>
        <w:t xml:space="preserve"> correlated with higher shares of economically disadvantaged students. As the next section indicates, lower salaries may allow these districts to support </w:t>
      </w:r>
      <w:r>
        <w:t xml:space="preserve">relatively higher staffing levels, but </w:t>
      </w:r>
      <w:r w:rsidR="006F30AE">
        <w:t>this may also mean that</w:t>
      </w:r>
      <w:r>
        <w:t xml:space="preserve"> these districts </w:t>
      </w:r>
      <w:r w:rsidR="006F30AE">
        <w:t>are</w:t>
      </w:r>
      <w:r>
        <w:t xml:space="preserve"> </w:t>
      </w:r>
      <w:r w:rsidR="00C87900">
        <w:t xml:space="preserve">less </w:t>
      </w:r>
      <w:r>
        <w:t>able to retain experienced teachers who can earn higher salaries in nearby districts.</w:t>
      </w:r>
    </w:p>
    <w:p w14:paraId="095EAD0D" w14:textId="77777777" w:rsidR="00B61F7B" w:rsidRPr="00B61F7B" w:rsidRDefault="00B61F7B" w:rsidP="007D69D3">
      <w:pPr>
        <w:spacing w:after="200"/>
        <w:rPr>
          <w:rFonts w:cstheme="minorHAnsi"/>
        </w:rPr>
      </w:pPr>
    </w:p>
    <w:p w14:paraId="40D9BDA1" w14:textId="77777777" w:rsidR="00A03A90" w:rsidRDefault="00A03A90" w:rsidP="007D69D3">
      <w:pPr>
        <w:spacing w:after="200"/>
        <w:rPr>
          <w:rFonts w:cstheme="minorHAnsi"/>
        </w:rPr>
        <w:sectPr w:rsidR="00A03A90" w:rsidSect="00A03A90">
          <w:type w:val="continuous"/>
          <w:pgSz w:w="12240" w:h="15840"/>
          <w:pgMar w:top="720" w:right="720" w:bottom="720" w:left="720" w:header="720" w:footer="720" w:gutter="0"/>
          <w:cols w:num="2" w:space="720"/>
          <w:docGrid w:linePitch="360"/>
        </w:sectPr>
      </w:pPr>
    </w:p>
    <w:p w14:paraId="61E063DD" w14:textId="3AC2AA03" w:rsidR="00E01CD2" w:rsidRDefault="00E01CD2" w:rsidP="00A754A0">
      <w:pPr>
        <w:spacing w:after="0"/>
        <w:rPr>
          <w:rFonts w:cstheme="minorHAnsi"/>
          <w:b/>
        </w:rPr>
      </w:pPr>
    </w:p>
    <w:p w14:paraId="0AEEAB5B" w14:textId="15290639" w:rsidR="00A03A90" w:rsidRDefault="00A03A90" w:rsidP="007D69D3">
      <w:pPr>
        <w:spacing w:before="120" w:after="200"/>
        <w:rPr>
          <w:rFonts w:cstheme="minorHAnsi"/>
          <w:b/>
        </w:rPr>
      </w:pPr>
      <w:r w:rsidRPr="00A03A90">
        <w:rPr>
          <w:rFonts w:cstheme="minorHAnsi"/>
          <w:b/>
        </w:rPr>
        <w:t xml:space="preserve">Figure 9.   </w:t>
      </w:r>
      <w:r w:rsidR="005A4A2D">
        <w:rPr>
          <w:rFonts w:cstheme="minorHAnsi"/>
          <w:b/>
        </w:rPr>
        <w:t>Controlling</w:t>
      </w:r>
      <w:r w:rsidR="005B1534" w:rsidRPr="00A03A90">
        <w:rPr>
          <w:rFonts w:cstheme="minorHAnsi"/>
          <w:b/>
        </w:rPr>
        <w:t xml:space="preserve"> </w:t>
      </w:r>
      <w:r w:rsidRPr="00A03A90">
        <w:rPr>
          <w:rFonts w:cstheme="minorHAnsi"/>
          <w:b/>
        </w:rPr>
        <w:t xml:space="preserve">for local labor costs makes a big </w:t>
      </w:r>
      <w:r w:rsidR="00097C2E" w:rsidRPr="00A03A90">
        <w:rPr>
          <w:rFonts w:cstheme="minorHAnsi"/>
          <w:b/>
        </w:rPr>
        <w:t>differen</w:t>
      </w:r>
      <w:r w:rsidR="00097C2E">
        <w:rPr>
          <w:rFonts w:cstheme="minorHAnsi"/>
          <w:b/>
        </w:rPr>
        <w:t>ce</w:t>
      </w:r>
      <w:r w:rsidR="00097C2E" w:rsidRPr="00A03A90">
        <w:rPr>
          <w:rFonts w:cstheme="minorHAnsi"/>
          <w:b/>
        </w:rPr>
        <w:t xml:space="preserve"> </w:t>
      </w:r>
      <w:r w:rsidRPr="00A03A90">
        <w:rPr>
          <w:rFonts w:cstheme="minorHAnsi"/>
          <w:b/>
        </w:rPr>
        <w:t>in how we see spending vary across the state relative to student needs</w:t>
      </w:r>
    </w:p>
    <w:p w14:paraId="01A42326" w14:textId="60CBC6F4" w:rsidR="00A03A90" w:rsidRDefault="00895C8B" w:rsidP="00895C8B">
      <w:pPr>
        <w:spacing w:after="200"/>
        <w:jc w:val="center"/>
        <w:rPr>
          <w:rFonts w:cstheme="minorHAnsi"/>
        </w:rPr>
      </w:pPr>
      <w:r>
        <w:rPr>
          <w:rFonts w:cstheme="minorHAnsi"/>
          <w:noProof/>
        </w:rPr>
        <w:drawing>
          <wp:inline distT="0" distB="0" distL="0" distR="0" wp14:anchorId="5E5A21E7" wp14:editId="4BC63DA1">
            <wp:extent cx="6505575" cy="2933584"/>
            <wp:effectExtent l="0" t="0" r="0" b="635"/>
            <wp:docPr id="4" name="Picture 4" descr="Figure 9: This is a bar graph that shows the estimated additional school level per pupil spending across districts per standard deviation increase in the share of each subgroup population with grade span controls and with grade span and labor cost controls.&#10;&#10;With grade span controls:&#10;Economically disadvantaged students: $505 less per pupil&#10;Pupils with disabilities: $974 more per pupil&#10;English learners: $942 more per pupil&#10;&#10;With grade span and labor cost controls:&#10;Economically disadvantaged students: $290 more per pupil&#10;Pupils with disabilities: $972 more per pupil&#10;English learners: $335 more per pupil&#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1483" cy="2940757"/>
                    </a:xfrm>
                    <a:prstGeom prst="rect">
                      <a:avLst/>
                    </a:prstGeom>
                    <a:noFill/>
                  </pic:spPr>
                </pic:pic>
              </a:graphicData>
            </a:graphic>
          </wp:inline>
        </w:drawing>
      </w:r>
    </w:p>
    <w:p w14:paraId="5CC09A5A" w14:textId="6C89D62B" w:rsidR="00A03A90" w:rsidRDefault="00A03A90" w:rsidP="007D69D3">
      <w:pPr>
        <w:spacing w:after="200"/>
        <w:rPr>
          <w:rFonts w:cstheme="minorHAnsi"/>
        </w:rPr>
      </w:pPr>
    </w:p>
    <w:p w14:paraId="28F5A670" w14:textId="69B5DF57" w:rsidR="00BB4F3F" w:rsidRDefault="00BB4F3F">
      <w:pPr>
        <w:rPr>
          <w:rFonts w:cstheme="minorHAnsi"/>
        </w:rPr>
      </w:pPr>
      <w:r>
        <w:rPr>
          <w:rFonts w:cstheme="minorHAnsi"/>
        </w:rPr>
        <w:br w:type="page"/>
      </w:r>
    </w:p>
    <w:p w14:paraId="40101A0F" w14:textId="77777777" w:rsidR="00BB4F3F" w:rsidRDefault="00BB4F3F" w:rsidP="007D69D3">
      <w:pPr>
        <w:spacing w:after="200"/>
        <w:rPr>
          <w:rFonts w:cstheme="minorHAnsi"/>
        </w:rPr>
        <w:sectPr w:rsidR="00BB4F3F" w:rsidSect="00A03A90">
          <w:type w:val="continuous"/>
          <w:pgSz w:w="12240" w:h="15840"/>
          <w:pgMar w:top="720" w:right="720" w:bottom="720" w:left="720" w:header="720" w:footer="720" w:gutter="0"/>
          <w:cols w:space="720"/>
          <w:docGrid w:linePitch="360"/>
        </w:sectPr>
      </w:pPr>
    </w:p>
    <w:p w14:paraId="1F65B20B" w14:textId="7EEA16F2" w:rsidR="00E74C85" w:rsidRDefault="00BB4F3F" w:rsidP="007D69D3">
      <w:pPr>
        <w:spacing w:after="200"/>
        <w:rPr>
          <w:rFonts w:ascii="Georgia" w:hAnsi="Georgia" w:cstheme="minorHAnsi"/>
          <w:b/>
          <w:i/>
          <w:color w:val="004386"/>
        </w:rPr>
      </w:pPr>
      <w:r>
        <w:rPr>
          <w:rFonts w:cstheme="minorHAnsi"/>
          <w:noProof/>
        </w:rPr>
        <w:lastRenderedPageBreak/>
        <mc:AlternateContent>
          <mc:Choice Requires="wps">
            <w:drawing>
              <wp:anchor distT="0" distB="0" distL="114300" distR="114300" simplePos="0" relativeHeight="251680768" behindDoc="1" locked="0" layoutInCell="1" allowOverlap="1" wp14:anchorId="2B07CD46" wp14:editId="3F4EC071">
                <wp:simplePos x="0" y="0"/>
                <wp:positionH relativeFrom="margin">
                  <wp:posOffset>-461176</wp:posOffset>
                </wp:positionH>
                <wp:positionV relativeFrom="paragraph">
                  <wp:posOffset>147098</wp:posOffset>
                </wp:positionV>
                <wp:extent cx="6903720" cy="8062623"/>
                <wp:effectExtent l="0" t="0" r="11430" b="14605"/>
                <wp:wrapNone/>
                <wp:docPr id="34" name="Rectangle 34" descr="This is text box that explains other factors affecting school-level expenditures, including teacher salary differences and federal funding allocations."/>
                <wp:cNvGraphicFramePr/>
                <a:graphic xmlns:a="http://schemas.openxmlformats.org/drawingml/2006/main">
                  <a:graphicData uri="http://schemas.microsoft.com/office/word/2010/wordprocessingShape">
                    <wps:wsp>
                      <wps:cNvSpPr/>
                      <wps:spPr>
                        <a:xfrm>
                          <a:off x="0" y="0"/>
                          <a:ext cx="6903720" cy="8062623"/>
                        </a:xfrm>
                        <a:prstGeom prst="rect">
                          <a:avLst/>
                        </a:prstGeom>
                        <a:solidFill>
                          <a:srgbClr val="E8EEF8"/>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7BE9B" id="Rectangle 34" o:spid="_x0000_s1026" alt="This is text box that explains other factors affecting school-level expenditures, including teacher salary differences and federal funding allocations." style="position:absolute;margin-left:-36.3pt;margin-top:11.6pt;width:543.6pt;height:634.8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" fillcolor="#e8eef8" strokecolor="#2f528f" strokeweight="1pt">
                <w10:wrap anchorx="margin"/>
              </v:rect>
            </w:pict>
          </mc:Fallback>
        </mc:AlternateContent>
      </w:r>
    </w:p>
    <w:p w14:paraId="130566EE" w14:textId="1E81CFBA" w:rsidR="005822D3" w:rsidRDefault="005822D3" w:rsidP="007D69D3">
      <w:pPr>
        <w:spacing w:after="200"/>
        <w:rPr>
          <w:rFonts w:ascii="Georgia" w:hAnsi="Georgia" w:cstheme="minorHAnsi"/>
          <w:b/>
          <w:i/>
          <w:color w:val="004386"/>
        </w:rPr>
      </w:pPr>
      <w:r w:rsidRPr="005822D3">
        <w:rPr>
          <w:rFonts w:ascii="Georgia" w:hAnsi="Georgia" w:cstheme="minorHAnsi"/>
          <w:b/>
          <w:i/>
          <w:color w:val="004386"/>
        </w:rPr>
        <w:t>Other factors affecting school-level expenditures include teacher salary differences and federal funding allocations.</w:t>
      </w:r>
    </w:p>
    <w:p w14:paraId="366ABBD7" w14:textId="76EEBE02" w:rsidR="00E01CD2" w:rsidRDefault="005822D3" w:rsidP="007D69D3">
      <w:pPr>
        <w:spacing w:after="200"/>
      </w:pPr>
      <w:r w:rsidRPr="00FC48BE">
        <w:rPr>
          <w:b/>
        </w:rPr>
        <w:t>Teacher Salaries</w:t>
      </w:r>
      <w:r>
        <w:t xml:space="preserve">: </w:t>
      </w:r>
      <w:r w:rsidR="00006D21" w:rsidRPr="00006D21">
        <w:t xml:space="preserve">Across the state, schools with higher shares of economically disadvantaged pupils tend to have lower average </w:t>
      </w:r>
      <w:r w:rsidR="00006D21">
        <w:t xml:space="preserve">teacher </w:t>
      </w:r>
      <w:r w:rsidR="00006D21" w:rsidRPr="00006D21">
        <w:t>salaries</w:t>
      </w:r>
      <w:r w:rsidR="00006D21">
        <w:t xml:space="preserve">, </w:t>
      </w:r>
      <w:r w:rsidR="00D92A63">
        <w:t xml:space="preserve">after </w:t>
      </w:r>
      <w:r w:rsidR="00006D21">
        <w:t>controlling for local labor costs</w:t>
      </w:r>
      <w:r w:rsidR="00006D21" w:rsidRPr="00006D21">
        <w:t xml:space="preserve"> (appendix figure 1). </w:t>
      </w:r>
      <w:r w:rsidR="00D92A63">
        <w:t>One</w:t>
      </w:r>
      <w:r w:rsidR="00006D21" w:rsidRPr="00006D21">
        <w:t xml:space="preserve"> factor that could </w:t>
      </w:r>
      <w:r w:rsidR="00F1740F">
        <w:t>potentially</w:t>
      </w:r>
      <w:r w:rsidR="00D92A63">
        <w:t xml:space="preserve"> </w:t>
      </w:r>
      <w:r w:rsidR="00006D21" w:rsidRPr="00006D21">
        <w:t>affect</w:t>
      </w:r>
      <w:r w:rsidR="00F1740F">
        <w:t xml:space="preserve"> the distribution of</w:t>
      </w:r>
      <w:r w:rsidR="00006D21" w:rsidRPr="00006D21">
        <w:t xml:space="preserve"> average </w:t>
      </w:r>
      <w:r w:rsidR="00D92A63">
        <w:t xml:space="preserve">teacher salaries </w:t>
      </w:r>
      <w:r w:rsidR="00F1740F">
        <w:t xml:space="preserve">across schools </w:t>
      </w:r>
      <w:r w:rsidR="00006D21" w:rsidRPr="00006D21">
        <w:t>is that Massachusetts school districts generally have collective bargaining agreements</w:t>
      </w:r>
      <w:r w:rsidR="00D92A63">
        <w:t>,</w:t>
      </w:r>
      <w:r w:rsidR="00006D21" w:rsidRPr="00006D21">
        <w:t xml:space="preserve"> with a salary schedule that increases compensation based on time on the job and highest degree earned</w:t>
      </w:r>
      <w:r w:rsidR="002E6BEE">
        <w:t>. Therefore, a school or district with less experienced teachers would likely have lower average salaries. However, the average can be affected by other factors, such as higher or lower relative district salary scale, or a particular distribution of teachers across the salary range, so this generalization might not hold in all cases.</w:t>
      </w:r>
      <w:r w:rsidRPr="00AE7089">
        <w:t xml:space="preserve"> </w:t>
      </w:r>
    </w:p>
    <w:p w14:paraId="613493B2" w14:textId="3F1711A6" w:rsidR="00D92A63" w:rsidRDefault="00E01CD2" w:rsidP="00D92A63">
      <w:pPr>
        <w:spacing w:after="200"/>
      </w:pPr>
      <w:r>
        <w:t>There is also data that indicates that student</w:t>
      </w:r>
      <w:r w:rsidR="000D546A">
        <w:t>s</w:t>
      </w:r>
      <w:r>
        <w:t xml:space="preserve"> with higher needs tend to have more inexperienced teachers. According to data from the MA Department of Elementary and Secondary Education, as of 2017, </w:t>
      </w:r>
      <w:r w:rsidR="005822D3">
        <w:t>e</w:t>
      </w:r>
      <w:r w:rsidR="005822D3" w:rsidRPr="00957FBC">
        <w:t xml:space="preserve">conomically disadvantaged students, students of color, and English learners </w:t>
      </w:r>
      <w:r w:rsidR="005822D3">
        <w:t>we</w:t>
      </w:r>
      <w:r w:rsidR="005822D3" w:rsidRPr="00957FBC">
        <w:t xml:space="preserve">re disproportionately assigned to an inexperienced teacher (those with fewer than three years’ experience) compared </w:t>
      </w:r>
      <w:r w:rsidR="005822D3">
        <w:t>with</w:t>
      </w:r>
      <w:r w:rsidR="005822D3" w:rsidRPr="00957FBC">
        <w:t xml:space="preserve"> their peers</w:t>
      </w:r>
      <w:r w:rsidR="00F9763A">
        <w:t xml:space="preserve">. Economically disadvantaged students are </w:t>
      </w:r>
      <w:r w:rsidR="005822D3" w:rsidRPr="00957FBC">
        <w:t>29 percent</w:t>
      </w:r>
      <w:r w:rsidR="0076763C">
        <w:t xml:space="preserve"> more </w:t>
      </w:r>
      <w:r w:rsidR="00F9763A">
        <w:t xml:space="preserve">likely to have an inexperienced teacher than other students, students of color are 43 percent more likely, and English learners 39 percent more </w:t>
      </w:r>
      <w:proofErr w:type="spellStart"/>
      <w:r w:rsidR="00F9763A">
        <w:t>likely</w:t>
      </w:r>
      <w:r w:rsidR="005822D3">
        <w:t>.</w:t>
      </w:r>
      <w:r w:rsidR="000F2FA1">
        <w:rPr>
          <w:vertAlign w:val="superscript"/>
        </w:rPr>
        <w:t>b</w:t>
      </w:r>
      <w:proofErr w:type="spellEnd"/>
      <w:r w:rsidR="000F2FA1">
        <w:t xml:space="preserve"> </w:t>
      </w:r>
      <w:r w:rsidR="005822D3">
        <w:t xml:space="preserve">This pattern is consistent </w:t>
      </w:r>
      <w:r w:rsidR="005822D3" w:rsidRPr="00AE7089">
        <w:t xml:space="preserve">with previous national studies </w:t>
      </w:r>
      <w:r w:rsidR="005822D3">
        <w:t>that</w:t>
      </w:r>
      <w:r w:rsidR="005822D3" w:rsidRPr="00AE7089">
        <w:t xml:space="preserve"> find that schools with </w:t>
      </w:r>
      <w:r w:rsidR="005822D3">
        <w:t>more</w:t>
      </w:r>
      <w:r w:rsidR="005822D3" w:rsidRPr="00AE7089">
        <w:t xml:space="preserve"> disadvantaged students tend to have less-experienced or less-qualified teachers relative to more-advantaged students in their district (Knight 2017</w:t>
      </w:r>
      <w:r w:rsidR="005822D3">
        <w:t>;</w:t>
      </w:r>
      <w:r w:rsidR="005822D3" w:rsidRPr="00AE7089">
        <w:t xml:space="preserve"> </w:t>
      </w:r>
      <w:proofErr w:type="spellStart"/>
      <w:r w:rsidR="005822D3">
        <w:t>Malkus</w:t>
      </w:r>
      <w:proofErr w:type="spellEnd"/>
      <w:r w:rsidR="005822D3">
        <w:t xml:space="preserve"> 2012; </w:t>
      </w:r>
      <w:r w:rsidR="005822D3" w:rsidRPr="00AE7089">
        <w:t>Rubenstein et al</w:t>
      </w:r>
      <w:r w:rsidR="005822D3">
        <w:t>.</w:t>
      </w:r>
      <w:r w:rsidR="005822D3" w:rsidRPr="00AE7089">
        <w:t xml:space="preserve"> 2007).</w:t>
      </w:r>
      <w:r w:rsidR="00D92A63">
        <w:t xml:space="preserve"> We find that an increasing number of teachers per 100 students correlates with lower average salaries (appendix figure 2). Lower average salaries at schools with more teachers per pupil may reflect disparities in teacher experience and credentials across schools.</w:t>
      </w:r>
    </w:p>
    <w:p w14:paraId="144C3629" w14:textId="6E1B3824" w:rsidR="00D92A63" w:rsidRDefault="00D92A63" w:rsidP="00D92A63">
      <w:r>
        <w:t xml:space="preserve">Taken together, these findings tend to indicate that schools with higher shares of economically disadvantaged students may have lower average salaries, less experienced teachers, </w:t>
      </w:r>
      <w:r w:rsidR="002E6BEE">
        <w:t xml:space="preserve">but also </w:t>
      </w:r>
      <w:r>
        <w:t>more teachers</w:t>
      </w:r>
      <w:r w:rsidR="0076763C">
        <w:t xml:space="preserve"> </w:t>
      </w:r>
      <w:r>
        <w:t>per 100 pupils</w:t>
      </w:r>
      <w:r w:rsidR="002E6BEE">
        <w:t xml:space="preserve"> than other schools</w:t>
      </w:r>
      <w:r>
        <w:t xml:space="preserve">. Offsetting the possible advantage of having more teachers is that as teachers gain </w:t>
      </w:r>
      <w:proofErr w:type="gramStart"/>
      <w:r>
        <w:t>experience</w:t>
      </w:r>
      <w:proofErr w:type="gramEnd"/>
      <w:r>
        <w:t xml:space="preserve"> they may tend to move to other districts with higher pay scales, contributing to a cycle of lower average salaries due to inexperienced teachers.</w:t>
      </w:r>
    </w:p>
    <w:p w14:paraId="028FD16C" w14:textId="491E3A91" w:rsidR="005822D3" w:rsidRDefault="005822D3" w:rsidP="007D69D3">
      <w:pPr>
        <w:spacing w:after="200"/>
      </w:pPr>
      <w:r w:rsidRPr="00FC48BE">
        <w:rPr>
          <w:b/>
        </w:rPr>
        <w:t>Federal Grants</w:t>
      </w:r>
      <w:r>
        <w:t xml:space="preserve">: </w:t>
      </w:r>
      <w:r w:rsidRPr="00FC48BE">
        <w:t>Although most of the revenue for K</w:t>
      </w:r>
      <w:r>
        <w:t>–</w:t>
      </w:r>
      <w:r w:rsidRPr="00FC48BE">
        <w:t xml:space="preserve">12 education in Massachusetts comes from a combination of state and local sources, a small but substantial share of revenue comes from the federal government. </w:t>
      </w:r>
      <w:r>
        <w:t xml:space="preserve">Federal grant </w:t>
      </w:r>
      <w:r w:rsidRPr="00FC48BE">
        <w:t>funds, about 5</w:t>
      </w:r>
      <w:r>
        <w:t xml:space="preserve"> percent</w:t>
      </w:r>
      <w:r w:rsidRPr="00FC48BE">
        <w:t xml:space="preserve"> of</w:t>
      </w:r>
      <w:r>
        <w:t xml:space="preserve"> total spending, are almost entirely directed toward </w:t>
      </w:r>
      <w:r w:rsidR="00302578">
        <w:t xml:space="preserve">districts and schools with </w:t>
      </w:r>
      <w:r>
        <w:t>high-need students (e.</w:t>
      </w:r>
      <w:r w:rsidR="00EF6E1F">
        <w:t xml:space="preserve">g., </w:t>
      </w:r>
      <w:proofErr w:type="gramStart"/>
      <w:r w:rsidR="00EF6E1F">
        <w:t xml:space="preserve">the </w:t>
      </w:r>
      <w:r>
        <w:t>Every</w:t>
      </w:r>
      <w:proofErr w:type="gramEnd"/>
      <w:r>
        <w:t xml:space="preserve"> Student Succeeds Act Title IA for economically disadvantaged students, the Individuals with Disabilities Education Act for students with disabilities, and the Every Student Succeeds Act Title IIIA for English learners). </w:t>
      </w:r>
    </w:p>
    <w:p w14:paraId="6261DBB2" w14:textId="0AB905C5" w:rsidR="005822D3" w:rsidRDefault="005822D3" w:rsidP="007D69D3">
      <w:pPr>
        <w:spacing w:after="200"/>
        <w:rPr>
          <w:lang w:eastAsia="zh-CN" w:bidi="hi-IN"/>
        </w:rPr>
      </w:pPr>
      <w:r>
        <w:t>E</w:t>
      </w:r>
      <w:r>
        <w:rPr>
          <w:lang w:eastAsia="zh-CN" w:bidi="hi-IN"/>
        </w:rPr>
        <w:t>lementary schools tend to receive a higher share of their expenditures from federal sources relative to middle and high schools. Urban districts receive a higher share of their expenditures from federal sources overall; the share of federal dollars spent in high schools in urban districts is nearly as high as the share spent in elementary schools across the state</w:t>
      </w:r>
      <w:r w:rsidR="00301135">
        <w:rPr>
          <w:lang w:eastAsia="zh-CN" w:bidi="hi-IN"/>
        </w:rPr>
        <w:t>.</w:t>
      </w:r>
    </w:p>
    <w:p w14:paraId="5F363619" w14:textId="730CF1B5" w:rsidR="005822D3" w:rsidRPr="002C64DF" w:rsidRDefault="000F2FA1" w:rsidP="007D69D3">
      <w:pPr>
        <w:spacing w:after="200"/>
      </w:pPr>
      <w:r>
        <w:rPr>
          <w:vertAlign w:val="superscript"/>
        </w:rPr>
        <w:t>b</w:t>
      </w:r>
      <w:r w:rsidR="005822D3">
        <w:t xml:space="preserve"> </w:t>
      </w:r>
      <w:r w:rsidR="005822D3" w:rsidRPr="002C64DF">
        <w:t>Massachusetts Plan for Equitable Access to Excellent Educators, 2015</w:t>
      </w:r>
      <w:r w:rsidR="005822D3">
        <w:t>–</w:t>
      </w:r>
      <w:r w:rsidR="005822D3" w:rsidRPr="002C64DF">
        <w:t>2019</w:t>
      </w:r>
      <w:r w:rsidR="005822D3">
        <w:t xml:space="preserve">, accessed at </w:t>
      </w:r>
      <w:hyperlink r:id="rId27" w:history="1">
        <w:r w:rsidR="005822D3">
          <w:rPr>
            <w:rStyle w:val="Hyperlink"/>
          </w:rPr>
          <w:t>http://www.doe.mass.edu/educators/equitableaccess/plan.html</w:t>
        </w:r>
      </w:hyperlink>
      <w:r w:rsidR="005822D3">
        <w:t>.</w:t>
      </w:r>
    </w:p>
    <w:p w14:paraId="01B80CD4" w14:textId="2BA9E808" w:rsidR="00A03A90" w:rsidRDefault="00A03A90" w:rsidP="007D69D3">
      <w:pPr>
        <w:spacing w:after="200"/>
        <w:rPr>
          <w:rFonts w:cstheme="minorHAnsi"/>
        </w:rPr>
      </w:pPr>
    </w:p>
    <w:p w14:paraId="18956A36" w14:textId="77777777" w:rsidR="00A03A90" w:rsidRDefault="00A03A90" w:rsidP="007D69D3">
      <w:pPr>
        <w:spacing w:after="200"/>
        <w:rPr>
          <w:rFonts w:cstheme="minorHAnsi"/>
        </w:rPr>
        <w:sectPr w:rsidR="00A03A90" w:rsidSect="00E74C85">
          <w:type w:val="continuous"/>
          <w:pgSz w:w="12240" w:h="15840"/>
          <w:pgMar w:top="720" w:right="1260" w:bottom="720" w:left="1440" w:header="720" w:footer="720" w:gutter="0"/>
          <w:cols w:space="720"/>
          <w:docGrid w:linePitch="360"/>
        </w:sectPr>
      </w:pPr>
    </w:p>
    <w:p w14:paraId="3E38A33F" w14:textId="66AB5BCE" w:rsidR="00E74C85" w:rsidRDefault="00E74C85" w:rsidP="007D69D3">
      <w:pPr>
        <w:spacing w:after="200"/>
        <w:rPr>
          <w:rFonts w:cstheme="minorHAnsi"/>
        </w:rPr>
      </w:pPr>
      <w:r>
        <w:rPr>
          <w:rFonts w:cstheme="minorHAnsi"/>
        </w:rPr>
        <w:br w:type="page"/>
      </w:r>
    </w:p>
    <w:p w14:paraId="030F585F" w14:textId="70ABB643" w:rsidR="00A03A90" w:rsidRDefault="00A03A90" w:rsidP="007D69D3">
      <w:pPr>
        <w:spacing w:after="200"/>
        <w:rPr>
          <w:rFonts w:cstheme="minorHAnsi"/>
        </w:rPr>
        <w:sectPr w:rsidR="00A03A90" w:rsidSect="00A03A90">
          <w:type w:val="continuous"/>
          <w:pgSz w:w="12240" w:h="15840"/>
          <w:pgMar w:top="720" w:right="720" w:bottom="720" w:left="720" w:header="720" w:footer="720" w:gutter="0"/>
          <w:cols w:space="720"/>
          <w:docGrid w:linePitch="360"/>
        </w:sectPr>
      </w:pPr>
    </w:p>
    <w:p w14:paraId="3A58186A" w14:textId="35338525" w:rsidR="00130185" w:rsidRPr="005831AB" w:rsidRDefault="00130185" w:rsidP="007D69D3">
      <w:pPr>
        <w:pStyle w:val="Heading2"/>
        <w:spacing w:after="200"/>
        <w:rPr>
          <w:rFonts w:cstheme="minorHAnsi"/>
        </w:rPr>
      </w:pPr>
      <w:r>
        <w:lastRenderedPageBreak/>
        <w:t>How should educators and the public fairly compare school spending levels?</w:t>
      </w:r>
    </w:p>
    <w:p w14:paraId="2EB49718" w14:textId="16AE334B" w:rsidR="00130185" w:rsidRDefault="00130185" w:rsidP="007D69D3">
      <w:pPr>
        <w:spacing w:after="200"/>
      </w:pPr>
      <w:r>
        <w:t xml:space="preserve">These findings provide a foundation for discussing the distribution of school-level expenditures. Importantly, comparing school-level expenditures in Massachusetts requires careful consideration of a school’s context. Such factors as local labor market costs, community wealth, </w:t>
      </w:r>
      <w:r w:rsidR="00301135">
        <w:t xml:space="preserve">a </w:t>
      </w:r>
      <w:r>
        <w:t xml:space="preserve">school’s demographic composition, and the grade span it serves can all influence school-level per pupil spending. Controlling for these contextual factors, we find that schools with higher levels of student need tend to spend more per pupil. </w:t>
      </w:r>
    </w:p>
    <w:p w14:paraId="61154B4F" w14:textId="5E803B97" w:rsidR="00130185" w:rsidRDefault="00130185" w:rsidP="007D69D3">
      <w:pPr>
        <w:spacing w:after="200"/>
      </w:pPr>
      <w:r>
        <w:t xml:space="preserve">Despite the average trend of increased school spending for high-need subgroups across the state, not all districts may fit this pattern. Individual districts may be able to improve resource allocation to better support schools with higher shares of student need. </w:t>
      </w:r>
    </w:p>
    <w:p w14:paraId="08F6FC81" w14:textId="0B7044F6" w:rsidR="00130185" w:rsidRDefault="00130185" w:rsidP="007D69D3">
      <w:pPr>
        <w:spacing w:after="200"/>
      </w:pPr>
      <w:r>
        <w:t>Research shows that increased spending can affect short- and long-run student outcomes, particularly for economically disadvantaged students. As Massachusetts continues to report on school-level expenditures, longitudinal data will allow researchers to see how districts may change their spending and to analyze student performance trends to potentially uncover new links between school-level expenditures and student outcomes.</w:t>
      </w:r>
    </w:p>
    <w:p w14:paraId="06419C6F" w14:textId="59520708" w:rsidR="00130185" w:rsidRDefault="00130185" w:rsidP="007D69D3">
      <w:pPr>
        <w:spacing w:after="200"/>
      </w:pPr>
      <w:r>
        <w:t>Our findings suggest that superintendents, policymakers, and families should consider the following questions as they seek to understand school-level spending data:</w:t>
      </w:r>
    </w:p>
    <w:p w14:paraId="1E1B1150" w14:textId="057FD928" w:rsidR="00130185" w:rsidRDefault="00130185" w:rsidP="007D69D3">
      <w:pPr>
        <w:spacing w:after="200"/>
      </w:pPr>
      <w:r w:rsidRPr="00AA4A2D">
        <w:rPr>
          <w:rStyle w:val="Heading4Char"/>
        </w:rPr>
        <w:t>Expenditures Relative to Student Need:</w:t>
      </w:r>
      <w:r>
        <w:t xml:space="preserve"> The results show that districts generally spend more on schools with higher shares of student need</w:t>
      </w:r>
      <w:r w:rsidR="003F56EC">
        <w:t xml:space="preserve"> when we look at spending within districts</w:t>
      </w:r>
      <w:r>
        <w:t>. How much is this evident, or not evident, in your home district and schools?</w:t>
      </w:r>
    </w:p>
    <w:p w14:paraId="0F73EC61" w14:textId="6BD33986" w:rsidR="00130185" w:rsidRDefault="00130185" w:rsidP="007D69D3">
      <w:pPr>
        <w:spacing w:after="200"/>
      </w:pPr>
      <w:r w:rsidRPr="00AA4A2D">
        <w:rPr>
          <w:rStyle w:val="Heading4Char"/>
        </w:rPr>
        <w:t>Local Resources:</w:t>
      </w:r>
      <w:r>
        <w:t xml:space="preserve"> </w:t>
      </w:r>
      <w:r w:rsidR="000761A6">
        <w:t>Districts can spend above their allocation, but some districts have more community wealth to draw on than others.</w:t>
      </w:r>
      <w:r>
        <w:t xml:space="preserve"> </w:t>
      </w:r>
      <w:r w:rsidR="00F9763A">
        <w:t>Even</w:t>
      </w:r>
      <w:r w:rsidR="003A4C40">
        <w:t xml:space="preserve"> districts with similar levels of community wealth can cho</w:t>
      </w:r>
      <w:r w:rsidR="004C38F5">
        <w:t>o</w:t>
      </w:r>
      <w:r w:rsidR="003A4C40">
        <w:t>se to invest different</w:t>
      </w:r>
      <w:r w:rsidR="00DC1513">
        <w:t xml:space="preserve"> amounts</w:t>
      </w:r>
      <w:r w:rsidR="003A4C40">
        <w:t xml:space="preserve"> in their schools. </w:t>
      </w:r>
      <w:r>
        <w:t>How much does community wealth affect spending in your home district and schools?</w:t>
      </w:r>
      <w:r w:rsidR="00AD7973">
        <w:t xml:space="preserve"> </w:t>
      </w:r>
    </w:p>
    <w:p w14:paraId="6D3FEF32" w14:textId="02DFFC7E" w:rsidR="00130185" w:rsidRDefault="00130185" w:rsidP="007D69D3">
      <w:pPr>
        <w:spacing w:after="200"/>
      </w:pPr>
      <w:r w:rsidRPr="00AA4A2D">
        <w:rPr>
          <w:rStyle w:val="Heading4Char"/>
        </w:rPr>
        <w:t>Federal Resources:</w:t>
      </w:r>
      <w:r>
        <w:t xml:space="preserve"> Federal funds typically go to students with the most need. How are federal funds spent in schools in your home district?</w:t>
      </w:r>
    </w:p>
    <w:p w14:paraId="48C84694" w14:textId="1283CA19" w:rsidR="00130185" w:rsidRDefault="00130185" w:rsidP="007D69D3">
      <w:pPr>
        <w:spacing w:after="200"/>
      </w:pPr>
      <w:r>
        <w:rPr>
          <w:rStyle w:val="Heading4Char"/>
        </w:rPr>
        <w:t>Other Factors</w:t>
      </w:r>
      <w:r w:rsidRPr="00AA4A2D">
        <w:rPr>
          <w:rStyle w:val="Heading4Char"/>
        </w:rPr>
        <w:t>:</w:t>
      </w:r>
      <w:r>
        <w:t xml:space="preserve"> Teachers are a key resource, whether considered in budget or staffing terms. How might staffing ratios, local labor costs, or teacher characteristics affect spending in your home district and schools?</w:t>
      </w:r>
    </w:p>
    <w:p w14:paraId="4AB8E84F" w14:textId="54E01F19" w:rsidR="00BE2F18" w:rsidRPr="000A4C9E" w:rsidRDefault="00BE2F18" w:rsidP="00BE2F18">
      <w:pPr>
        <w:pStyle w:val="Heading2"/>
        <w:spacing w:before="0" w:after="200"/>
        <w:ind w:right="-720"/>
      </w:pPr>
      <w:r w:rsidRPr="000A4C9E">
        <w:t xml:space="preserve">Additional resources from the Massachusetts Department of </w:t>
      </w:r>
      <w:r w:rsidR="00301135">
        <w:br/>
      </w:r>
      <w:r w:rsidRPr="000A4C9E">
        <w:t>Elementary and Secondary Education</w:t>
      </w:r>
    </w:p>
    <w:p w14:paraId="32B4ED00" w14:textId="77777777" w:rsidR="00BE2F18" w:rsidRDefault="00BE2F18" w:rsidP="00BE2F18">
      <w:r>
        <w:t xml:space="preserve">District and school report cards are available at </w:t>
      </w:r>
      <w:hyperlink r:id="rId28" w:history="1">
        <w:r>
          <w:rPr>
            <w:rStyle w:val="Hyperlink"/>
          </w:rPr>
          <w:t>http://reportcards.doe.mass.edu/</w:t>
        </w:r>
      </w:hyperlink>
      <w:r>
        <w:rPr>
          <w:rStyle w:val="Hyperlink"/>
        </w:rPr>
        <w:t>.</w:t>
      </w:r>
      <w:r>
        <w:t xml:space="preserve"> Each includes a section called “How much does our school (or district) spend per student?” A school-level spending report with more detail is forthcoming and will be available at this website.</w:t>
      </w:r>
    </w:p>
    <w:p w14:paraId="61F4EBB8" w14:textId="77777777" w:rsidR="00BE2F18" w:rsidRDefault="00BE2F18" w:rsidP="00BE2F18">
      <w:r>
        <w:t xml:space="preserve">Teacher average salary data are available at </w:t>
      </w:r>
      <w:hyperlink r:id="rId29" w:history="1">
        <w:r>
          <w:rPr>
            <w:rStyle w:val="Hyperlink"/>
          </w:rPr>
          <w:t>http://www.doe.mass.edu/finance/statistics/</w:t>
        </w:r>
      </w:hyperlink>
      <w:r>
        <w:t>.</w:t>
      </w:r>
    </w:p>
    <w:p w14:paraId="0C03E011" w14:textId="77777777" w:rsidR="00BE2F18" w:rsidRDefault="00BE2F18" w:rsidP="00BE2F18">
      <w:r>
        <w:t>District staff have access in Edwin to Student Learning Experiences reports that illustrate how students are assigned to teachers by student groups and by teacher characteristics. This is another way to look at equitable distribution of resources based on student needs.</w:t>
      </w:r>
    </w:p>
    <w:p w14:paraId="64ECCCFD" w14:textId="14012ACF" w:rsidR="00BE2F18" w:rsidRDefault="00BE2F18" w:rsidP="00BE2F18">
      <w:pPr>
        <w:spacing w:after="200"/>
      </w:pPr>
      <w:r>
        <w:t xml:space="preserve">RADAR (Resource Allocation and District Action Reports) Benchmarking allows users to compare 10 selected districts and compare staffing, spending, and other data, and it is available at </w:t>
      </w:r>
      <w:hyperlink r:id="rId30" w:history="1">
        <w:r>
          <w:rPr>
            <w:rStyle w:val="Hyperlink"/>
          </w:rPr>
          <w:t>http://www.doe.mass.edu/research/radar/</w:t>
        </w:r>
      </w:hyperlink>
      <w:r>
        <w:t>.</w:t>
      </w:r>
    </w:p>
    <w:p w14:paraId="17D1EAA7" w14:textId="77777777" w:rsidR="00BE2F18" w:rsidRDefault="00BE2F18" w:rsidP="00BE2F18">
      <w:pPr>
        <w:spacing w:after="200"/>
        <w:sectPr w:rsidR="00BE2F18" w:rsidSect="00A03A90">
          <w:type w:val="continuous"/>
          <w:pgSz w:w="12240" w:h="15840"/>
          <w:pgMar w:top="720" w:right="720" w:bottom="720" w:left="720" w:header="720" w:footer="720" w:gutter="0"/>
          <w:cols w:num="2" w:space="720"/>
          <w:docGrid w:linePitch="360"/>
        </w:sectPr>
      </w:pPr>
    </w:p>
    <w:p w14:paraId="0BD40851" w14:textId="17C9125B" w:rsidR="00BE2F18" w:rsidRDefault="00BE2F18" w:rsidP="00BE2F18">
      <w:pPr>
        <w:spacing w:after="200"/>
      </w:pPr>
    </w:p>
    <w:p w14:paraId="769369B6" w14:textId="77777777" w:rsidR="00BE2F18" w:rsidRDefault="00BE2F18" w:rsidP="007D69D3">
      <w:pPr>
        <w:spacing w:after="200"/>
        <w:sectPr w:rsidR="00BE2F18" w:rsidSect="00BE2F18">
          <w:pgSz w:w="12240" w:h="15840"/>
          <w:pgMar w:top="720" w:right="720" w:bottom="720" w:left="720" w:header="720" w:footer="720" w:gutter="0"/>
          <w:cols w:num="2" w:space="720"/>
          <w:docGrid w:linePitch="360"/>
        </w:sectPr>
      </w:pPr>
    </w:p>
    <w:p w14:paraId="543DB334" w14:textId="06A4A58E" w:rsidR="00552511" w:rsidRPr="00E2482A" w:rsidRDefault="00552511" w:rsidP="00A754A0">
      <w:pPr>
        <w:pStyle w:val="Heading1"/>
        <w:spacing w:after="0"/>
        <w:ind w:right="4"/>
        <w:rPr>
          <w:rFonts w:ascii="Georgia" w:hAnsi="Georgia"/>
          <w:color w:val="004386"/>
          <w:sz w:val="26"/>
          <w:szCs w:val="26"/>
        </w:rPr>
      </w:pPr>
      <w:r w:rsidRPr="00E2482A">
        <w:rPr>
          <w:rFonts w:ascii="Georgia" w:hAnsi="Georgia"/>
          <w:color w:val="004386"/>
          <w:sz w:val="26"/>
          <w:szCs w:val="26"/>
        </w:rPr>
        <w:t xml:space="preserve">References </w:t>
      </w:r>
    </w:p>
    <w:p w14:paraId="19F963C0" w14:textId="522E7107" w:rsidR="005073A4" w:rsidRDefault="004E14CB" w:rsidP="007D69D3">
      <w:pPr>
        <w:spacing w:after="200"/>
        <w:rPr>
          <w:rFonts w:eastAsia="Times New Roman" w:cs="Times New Roman"/>
          <w:sz w:val="20"/>
          <w:szCs w:val="20"/>
        </w:rPr>
      </w:pPr>
      <w:r>
        <w:rPr>
          <w:rFonts w:ascii="Times New Roman" w:hAnsi="Times New Roman" w:cs="Times New Roman"/>
          <w:b/>
          <w:sz w:val="24"/>
          <w:szCs w:val="24"/>
        </w:rPr>
        <w:pict w14:anchorId="1CEA5BD2">
          <v:rect id="_x0000_i1025" style="width:3in;height:1.5pt" o:hralign="center" o:hrstd="t" o:hrnoshade="t" o:hr="t" fillcolor="#004386" stroked="f"/>
        </w:pict>
      </w:r>
      <w:proofErr w:type="spellStart"/>
      <w:r w:rsidR="005073A4" w:rsidRPr="00BF25A8">
        <w:rPr>
          <w:rFonts w:eastAsia="Times New Roman" w:cs="Times New Roman"/>
          <w:sz w:val="20"/>
          <w:szCs w:val="20"/>
        </w:rPr>
        <w:t>Ajwad</w:t>
      </w:r>
      <w:proofErr w:type="spellEnd"/>
      <w:r w:rsidR="005073A4" w:rsidRPr="00BF25A8">
        <w:rPr>
          <w:rFonts w:eastAsia="Times New Roman" w:cs="Times New Roman"/>
          <w:sz w:val="20"/>
          <w:szCs w:val="20"/>
        </w:rPr>
        <w:t xml:space="preserve">, Mohamed Ihsan. </w:t>
      </w:r>
      <w:r w:rsidR="00301135">
        <w:rPr>
          <w:rFonts w:eastAsia="Times New Roman" w:cs="Times New Roman"/>
          <w:sz w:val="20"/>
          <w:szCs w:val="20"/>
        </w:rPr>
        <w:t>“</w:t>
      </w:r>
      <w:r w:rsidR="005073A4" w:rsidRPr="00BF25A8">
        <w:rPr>
          <w:rFonts w:eastAsia="Times New Roman" w:cs="Times New Roman"/>
          <w:sz w:val="20"/>
          <w:szCs w:val="20"/>
        </w:rPr>
        <w:t xml:space="preserve">Is </w:t>
      </w:r>
      <w:proofErr w:type="spellStart"/>
      <w:r w:rsidR="005073A4" w:rsidRPr="00BF25A8">
        <w:rPr>
          <w:rFonts w:eastAsia="Times New Roman" w:cs="Times New Roman"/>
          <w:sz w:val="20"/>
          <w:szCs w:val="20"/>
        </w:rPr>
        <w:t>intrajurisdictional</w:t>
      </w:r>
      <w:proofErr w:type="spellEnd"/>
      <w:r w:rsidR="005073A4" w:rsidRPr="00BF25A8">
        <w:rPr>
          <w:rFonts w:eastAsia="Times New Roman" w:cs="Times New Roman"/>
          <w:sz w:val="20"/>
          <w:szCs w:val="20"/>
        </w:rPr>
        <w:t xml:space="preserve"> resource allocation </w:t>
      </w:r>
      <w:proofErr w:type="gramStart"/>
      <w:r w:rsidR="005073A4" w:rsidRPr="00BF25A8">
        <w:rPr>
          <w:rFonts w:eastAsia="Times New Roman" w:cs="Times New Roman"/>
          <w:sz w:val="20"/>
          <w:szCs w:val="20"/>
        </w:rPr>
        <w:t>equitable?:</w:t>
      </w:r>
      <w:proofErr w:type="gramEnd"/>
      <w:r w:rsidR="005073A4" w:rsidRPr="00BF25A8">
        <w:rPr>
          <w:rFonts w:eastAsia="Times New Roman" w:cs="Times New Roman"/>
          <w:sz w:val="20"/>
          <w:szCs w:val="20"/>
        </w:rPr>
        <w:t xml:space="preserve"> An analysis of campus-level spending data for Texas elementary schools.</w:t>
      </w:r>
      <w:r w:rsidR="00301135">
        <w:rPr>
          <w:rFonts w:eastAsia="Times New Roman" w:cs="Times New Roman"/>
          <w:sz w:val="20"/>
          <w:szCs w:val="20"/>
        </w:rPr>
        <w:t>”</w:t>
      </w:r>
      <w:r w:rsidR="005073A4" w:rsidRPr="00BF25A8">
        <w:rPr>
          <w:rFonts w:eastAsia="Times New Roman" w:cs="Times New Roman"/>
          <w:sz w:val="20"/>
          <w:szCs w:val="20"/>
        </w:rPr>
        <w:t xml:space="preserve"> The Quarterly Review of Economics and Finance 46, no. 4 (2006): 552</w:t>
      </w:r>
      <w:r w:rsidR="005073A4">
        <w:rPr>
          <w:rFonts w:eastAsia="Times New Roman" w:cs="Times New Roman"/>
          <w:sz w:val="20"/>
          <w:szCs w:val="20"/>
        </w:rPr>
        <w:t>–</w:t>
      </w:r>
      <w:r w:rsidR="005073A4" w:rsidRPr="00BF25A8">
        <w:rPr>
          <w:rFonts w:eastAsia="Times New Roman" w:cs="Times New Roman"/>
          <w:sz w:val="20"/>
          <w:szCs w:val="20"/>
        </w:rPr>
        <w:t>64.</w:t>
      </w:r>
    </w:p>
    <w:p w14:paraId="0F748582" w14:textId="4F2B1026" w:rsidR="005073A4" w:rsidRDefault="005073A4" w:rsidP="007D69D3">
      <w:pPr>
        <w:spacing w:after="200"/>
        <w:rPr>
          <w:rFonts w:eastAsia="Times New Roman" w:cs="Times New Roman"/>
          <w:sz w:val="20"/>
          <w:szCs w:val="20"/>
        </w:rPr>
      </w:pPr>
      <w:r>
        <w:rPr>
          <w:rFonts w:eastAsia="Times New Roman" w:cs="Times New Roman"/>
          <w:sz w:val="20"/>
          <w:szCs w:val="20"/>
        </w:rPr>
        <w:t>Bal, Aydin, Amanda L. Sullivan, and John Harper. “</w:t>
      </w:r>
      <w:r w:rsidRPr="000A5CA8">
        <w:rPr>
          <w:rFonts w:eastAsia="Times New Roman" w:cs="Times New Roman"/>
          <w:sz w:val="20"/>
          <w:szCs w:val="20"/>
        </w:rPr>
        <w:t>A Situated Analysis of Special Education Disproportionality for Systemic Transformation in an Urban School District</w:t>
      </w:r>
      <w:r>
        <w:rPr>
          <w:rFonts w:eastAsia="Times New Roman" w:cs="Times New Roman"/>
          <w:sz w:val="20"/>
          <w:szCs w:val="20"/>
        </w:rPr>
        <w:t xml:space="preserve">.” </w:t>
      </w:r>
      <w:r w:rsidRPr="000A5CA8">
        <w:rPr>
          <w:rFonts w:eastAsia="Times New Roman" w:cs="Times New Roman"/>
          <w:sz w:val="20"/>
          <w:szCs w:val="20"/>
        </w:rPr>
        <w:t>Remedial and Special Education</w:t>
      </w:r>
      <w:r>
        <w:rPr>
          <w:rFonts w:eastAsia="Times New Roman" w:cs="Times New Roman"/>
          <w:sz w:val="20"/>
          <w:szCs w:val="20"/>
        </w:rPr>
        <w:t xml:space="preserve"> 34, no. 1 (2013): 3–14.</w:t>
      </w:r>
    </w:p>
    <w:p w14:paraId="04328E05" w14:textId="6EA61121" w:rsidR="005073A4" w:rsidRDefault="005073A4" w:rsidP="007D69D3">
      <w:pPr>
        <w:spacing w:after="200"/>
        <w:rPr>
          <w:rFonts w:eastAsia="Times New Roman" w:cs="Times New Roman"/>
          <w:sz w:val="20"/>
          <w:szCs w:val="20"/>
        </w:rPr>
      </w:pPr>
      <w:r>
        <w:rPr>
          <w:rFonts w:eastAsia="Times New Roman" w:cs="Times New Roman"/>
          <w:sz w:val="20"/>
          <w:szCs w:val="20"/>
        </w:rPr>
        <w:t>Candelaria, Chris, and Kenneth Shores. “</w:t>
      </w:r>
      <w:r w:rsidRPr="003C5BD9">
        <w:rPr>
          <w:rFonts w:eastAsia="Times New Roman" w:cs="Times New Roman"/>
          <w:sz w:val="20"/>
          <w:szCs w:val="20"/>
        </w:rPr>
        <w:t>Court-Ordered Finance Reforms in the Adequacy Era: Heterogeneous Causal Effects and Sensitivity</w:t>
      </w:r>
      <w:r>
        <w:rPr>
          <w:rFonts w:eastAsia="Times New Roman" w:cs="Times New Roman"/>
          <w:sz w:val="20"/>
          <w:szCs w:val="20"/>
        </w:rPr>
        <w:t>.” Stanford Center for Education Policy Analysis (2017).</w:t>
      </w:r>
    </w:p>
    <w:p w14:paraId="227EF55D" w14:textId="375635BE" w:rsidR="005073A4" w:rsidRDefault="005073A4" w:rsidP="007D69D3">
      <w:pPr>
        <w:spacing w:after="200"/>
        <w:rPr>
          <w:rFonts w:eastAsia="Times New Roman" w:cs="Times New Roman"/>
          <w:sz w:val="20"/>
          <w:szCs w:val="20"/>
        </w:rPr>
      </w:pPr>
      <w:r>
        <w:rPr>
          <w:rFonts w:eastAsia="Times New Roman" w:cs="Times New Roman"/>
          <w:sz w:val="20"/>
          <w:szCs w:val="20"/>
        </w:rPr>
        <w:t>Chetty, Raj, and John N. Friedman. “School Quality &amp; Income Inequality: The Long-Term Effects of Early Childhood Education.” The Federal Reserve Bank of Boston (2011).</w:t>
      </w:r>
    </w:p>
    <w:p w14:paraId="7B97B651" w14:textId="64248ED7" w:rsidR="005073A4" w:rsidRDefault="005073A4" w:rsidP="007D69D3">
      <w:pPr>
        <w:spacing w:after="200"/>
        <w:rPr>
          <w:rFonts w:eastAsia="Times New Roman" w:cs="Times New Roman"/>
          <w:sz w:val="20"/>
          <w:szCs w:val="20"/>
        </w:rPr>
      </w:pPr>
      <w:proofErr w:type="spellStart"/>
      <w:r>
        <w:rPr>
          <w:rFonts w:eastAsia="Times New Roman" w:cs="Times New Roman"/>
          <w:sz w:val="20"/>
          <w:szCs w:val="20"/>
        </w:rPr>
        <w:t>Cosentino</w:t>
      </w:r>
      <w:proofErr w:type="spellEnd"/>
      <w:r>
        <w:rPr>
          <w:rFonts w:eastAsia="Times New Roman" w:cs="Times New Roman"/>
          <w:sz w:val="20"/>
          <w:szCs w:val="20"/>
        </w:rPr>
        <w:t xml:space="preserve"> De Cohen, Clemencia, and Beatriz Chu </w:t>
      </w:r>
      <w:proofErr w:type="spellStart"/>
      <w:r>
        <w:rPr>
          <w:rFonts w:eastAsia="Times New Roman" w:cs="Times New Roman"/>
          <w:sz w:val="20"/>
          <w:szCs w:val="20"/>
        </w:rPr>
        <w:t>Clewell</w:t>
      </w:r>
      <w:proofErr w:type="spellEnd"/>
      <w:r>
        <w:rPr>
          <w:rFonts w:eastAsia="Times New Roman" w:cs="Times New Roman"/>
          <w:sz w:val="20"/>
          <w:szCs w:val="20"/>
        </w:rPr>
        <w:t xml:space="preserve">. “Putting English Language </w:t>
      </w:r>
      <w:r w:rsidRPr="005C1CB7">
        <w:rPr>
          <w:rFonts w:eastAsia="Times New Roman" w:cs="Times New Roman"/>
          <w:sz w:val="20"/>
          <w:szCs w:val="20"/>
        </w:rPr>
        <w:t>Learners on the Educational Map</w:t>
      </w:r>
      <w:r>
        <w:rPr>
          <w:rFonts w:eastAsia="Times New Roman" w:cs="Times New Roman"/>
          <w:sz w:val="20"/>
          <w:szCs w:val="20"/>
        </w:rPr>
        <w:t xml:space="preserve">: </w:t>
      </w:r>
      <w:r w:rsidRPr="005C1CB7">
        <w:rPr>
          <w:rFonts w:eastAsia="Times New Roman" w:cs="Times New Roman"/>
          <w:sz w:val="20"/>
          <w:szCs w:val="20"/>
        </w:rPr>
        <w:t>The No Child Left Behind Act Implemented</w:t>
      </w:r>
      <w:r>
        <w:rPr>
          <w:rFonts w:eastAsia="Times New Roman" w:cs="Times New Roman"/>
          <w:sz w:val="20"/>
          <w:szCs w:val="20"/>
        </w:rPr>
        <w:t>” The Urban Institute, Washington, DC (May 2007).</w:t>
      </w:r>
    </w:p>
    <w:p w14:paraId="063A30D9" w14:textId="754E2A7F" w:rsidR="005073A4" w:rsidRDefault="005073A4" w:rsidP="007D69D3">
      <w:pPr>
        <w:spacing w:after="200"/>
        <w:rPr>
          <w:rFonts w:eastAsia="Times New Roman" w:cs="Times New Roman"/>
          <w:sz w:val="20"/>
          <w:szCs w:val="20"/>
        </w:rPr>
      </w:pPr>
      <w:r w:rsidRPr="00BF25A8">
        <w:rPr>
          <w:rFonts w:eastAsia="Times New Roman" w:cs="Times New Roman"/>
          <w:sz w:val="20"/>
          <w:szCs w:val="20"/>
        </w:rPr>
        <w:t xml:space="preserve">Heuer, Ruth, and Stephanie </w:t>
      </w:r>
      <w:proofErr w:type="spellStart"/>
      <w:r w:rsidRPr="00BF25A8">
        <w:rPr>
          <w:rFonts w:eastAsia="Times New Roman" w:cs="Times New Roman"/>
          <w:sz w:val="20"/>
          <w:szCs w:val="20"/>
        </w:rPr>
        <w:t>Stullich</w:t>
      </w:r>
      <w:proofErr w:type="spellEnd"/>
      <w:r w:rsidRPr="00BF25A8">
        <w:rPr>
          <w:rFonts w:eastAsia="Times New Roman" w:cs="Times New Roman"/>
          <w:sz w:val="20"/>
          <w:szCs w:val="20"/>
        </w:rPr>
        <w:t xml:space="preserve">. </w:t>
      </w:r>
      <w:r w:rsidR="00301135">
        <w:rPr>
          <w:rFonts w:eastAsia="Times New Roman" w:cs="Times New Roman"/>
          <w:sz w:val="20"/>
          <w:szCs w:val="20"/>
        </w:rPr>
        <w:t>“</w:t>
      </w:r>
      <w:r w:rsidRPr="00BF25A8">
        <w:rPr>
          <w:rFonts w:eastAsia="Times New Roman" w:cs="Times New Roman"/>
          <w:sz w:val="20"/>
          <w:szCs w:val="20"/>
        </w:rPr>
        <w:t>Comparability of State and Local Expenditures among Schools within Districts: A Report from the Study of School-Level Expenditures.</w:t>
      </w:r>
      <w:r w:rsidR="00301135">
        <w:rPr>
          <w:rFonts w:eastAsia="Times New Roman" w:cs="Times New Roman"/>
          <w:sz w:val="20"/>
          <w:szCs w:val="20"/>
        </w:rPr>
        <w:t>”</w:t>
      </w:r>
      <w:r w:rsidRPr="00BF25A8">
        <w:rPr>
          <w:rFonts w:eastAsia="Times New Roman" w:cs="Times New Roman"/>
          <w:sz w:val="20"/>
          <w:szCs w:val="20"/>
        </w:rPr>
        <w:t xml:space="preserve"> Office of Planning, Evaluation</w:t>
      </w:r>
      <w:r>
        <w:rPr>
          <w:rFonts w:eastAsia="Times New Roman" w:cs="Times New Roman"/>
          <w:sz w:val="20"/>
          <w:szCs w:val="20"/>
        </w:rPr>
        <w:t>,</w:t>
      </w:r>
      <w:r w:rsidRPr="00BF25A8">
        <w:rPr>
          <w:rFonts w:eastAsia="Times New Roman" w:cs="Times New Roman"/>
          <w:sz w:val="20"/>
          <w:szCs w:val="20"/>
        </w:rPr>
        <w:t xml:space="preserve"> and Policy Development, US Department of Education (2011).</w:t>
      </w:r>
    </w:p>
    <w:p w14:paraId="0170AC35" w14:textId="11A5D47B" w:rsidR="005073A4" w:rsidRDefault="005073A4" w:rsidP="007D69D3">
      <w:pPr>
        <w:spacing w:after="200"/>
        <w:rPr>
          <w:rFonts w:eastAsia="Times New Roman" w:cs="Times New Roman"/>
          <w:sz w:val="20"/>
          <w:szCs w:val="20"/>
        </w:rPr>
      </w:pPr>
      <w:r w:rsidRPr="00BF25A8">
        <w:rPr>
          <w:rFonts w:eastAsia="Times New Roman" w:cs="Times New Roman"/>
          <w:sz w:val="20"/>
          <w:szCs w:val="20"/>
        </w:rPr>
        <w:t xml:space="preserve">Hyman, Joshua. </w:t>
      </w:r>
      <w:r w:rsidR="00301135">
        <w:rPr>
          <w:rFonts w:eastAsia="Times New Roman" w:cs="Times New Roman"/>
          <w:sz w:val="20"/>
          <w:szCs w:val="20"/>
        </w:rPr>
        <w:t>“</w:t>
      </w:r>
      <w:r w:rsidRPr="00BF25A8">
        <w:rPr>
          <w:rFonts w:eastAsia="Times New Roman" w:cs="Times New Roman"/>
          <w:sz w:val="20"/>
          <w:szCs w:val="20"/>
        </w:rPr>
        <w:t>Does money matter in the long run? Effects of school spending on educational attainment.</w:t>
      </w:r>
      <w:r w:rsidR="00301135">
        <w:rPr>
          <w:rFonts w:eastAsia="Times New Roman" w:cs="Times New Roman"/>
          <w:sz w:val="20"/>
          <w:szCs w:val="20"/>
        </w:rPr>
        <w:t>”</w:t>
      </w:r>
      <w:r w:rsidRPr="00BF25A8">
        <w:rPr>
          <w:rFonts w:eastAsia="Times New Roman" w:cs="Times New Roman"/>
          <w:sz w:val="20"/>
          <w:szCs w:val="20"/>
        </w:rPr>
        <w:t xml:space="preserve"> American Economic Journal: Economic Policy 9, no. 4 (2017): 256</w:t>
      </w:r>
      <w:r>
        <w:rPr>
          <w:rFonts w:eastAsia="Times New Roman" w:cs="Times New Roman"/>
          <w:sz w:val="20"/>
          <w:szCs w:val="20"/>
        </w:rPr>
        <w:t>–</w:t>
      </w:r>
      <w:r w:rsidRPr="00BF25A8">
        <w:rPr>
          <w:rFonts w:eastAsia="Times New Roman" w:cs="Times New Roman"/>
          <w:sz w:val="20"/>
          <w:szCs w:val="20"/>
        </w:rPr>
        <w:t>80.</w:t>
      </w:r>
    </w:p>
    <w:p w14:paraId="5A8B29A5" w14:textId="4BD04F13" w:rsidR="005073A4" w:rsidRDefault="005073A4" w:rsidP="007D69D3">
      <w:pPr>
        <w:spacing w:after="200"/>
        <w:rPr>
          <w:rFonts w:eastAsia="Times New Roman" w:cs="Times New Roman"/>
          <w:sz w:val="20"/>
          <w:szCs w:val="20"/>
        </w:rPr>
      </w:pPr>
      <w:r w:rsidRPr="00BF25A8">
        <w:rPr>
          <w:rFonts w:eastAsia="Times New Roman" w:cs="Times New Roman"/>
          <w:sz w:val="20"/>
          <w:szCs w:val="20"/>
        </w:rPr>
        <w:t xml:space="preserve">Jackson, C. </w:t>
      </w:r>
      <w:proofErr w:type="spellStart"/>
      <w:r w:rsidRPr="00BF25A8">
        <w:rPr>
          <w:rFonts w:eastAsia="Times New Roman" w:cs="Times New Roman"/>
          <w:sz w:val="20"/>
          <w:szCs w:val="20"/>
        </w:rPr>
        <w:t>Kirabo</w:t>
      </w:r>
      <w:proofErr w:type="spellEnd"/>
      <w:r w:rsidRPr="00BF25A8">
        <w:rPr>
          <w:rFonts w:eastAsia="Times New Roman" w:cs="Times New Roman"/>
          <w:sz w:val="20"/>
          <w:szCs w:val="20"/>
        </w:rPr>
        <w:t>. Does School Spending Matter? The New Literature on an Old Question. No. w25368. National Bureau of Economic Research, 2018.</w:t>
      </w:r>
    </w:p>
    <w:p w14:paraId="27C98838" w14:textId="0A6687B3" w:rsidR="005073A4" w:rsidRDefault="005073A4" w:rsidP="007D69D3">
      <w:pPr>
        <w:spacing w:after="200"/>
        <w:rPr>
          <w:rFonts w:eastAsia="Times New Roman" w:cs="Times New Roman"/>
          <w:sz w:val="20"/>
          <w:szCs w:val="20"/>
        </w:rPr>
      </w:pPr>
      <w:r w:rsidRPr="00BF25A8">
        <w:rPr>
          <w:rFonts w:eastAsia="Times New Roman" w:cs="Times New Roman"/>
          <w:sz w:val="20"/>
          <w:szCs w:val="20"/>
        </w:rPr>
        <w:t xml:space="preserve">Jackson, C. </w:t>
      </w:r>
      <w:proofErr w:type="spellStart"/>
      <w:r w:rsidRPr="00BF25A8">
        <w:rPr>
          <w:rFonts w:eastAsia="Times New Roman" w:cs="Times New Roman"/>
          <w:sz w:val="20"/>
          <w:szCs w:val="20"/>
        </w:rPr>
        <w:t>Kirabo</w:t>
      </w:r>
      <w:proofErr w:type="spellEnd"/>
      <w:r w:rsidRPr="00BF25A8">
        <w:rPr>
          <w:rFonts w:eastAsia="Times New Roman" w:cs="Times New Roman"/>
          <w:sz w:val="20"/>
          <w:szCs w:val="20"/>
        </w:rPr>
        <w:t>, Rucker Johnson, and Claudia Persico. The effect of school finance reforms on the distribution of spending, academic achievement, and adult outcomes. No. w20118. National Bureau of Economic Research, 2014.</w:t>
      </w:r>
    </w:p>
    <w:p w14:paraId="797B9326" w14:textId="29D39767" w:rsidR="005073A4" w:rsidRDefault="005073A4" w:rsidP="007D69D3">
      <w:pPr>
        <w:spacing w:after="200"/>
        <w:rPr>
          <w:rFonts w:eastAsia="Times New Roman" w:cs="Times New Roman"/>
          <w:sz w:val="20"/>
          <w:szCs w:val="20"/>
        </w:rPr>
      </w:pPr>
      <w:r w:rsidRPr="00BF25A8">
        <w:rPr>
          <w:rFonts w:eastAsia="Times New Roman" w:cs="Times New Roman"/>
          <w:sz w:val="20"/>
          <w:szCs w:val="20"/>
        </w:rPr>
        <w:t xml:space="preserve">Jones, Colin, Noah Berger, and Roger Hatch. “Building an Education System that Works for Everyone: Funding Reforms to Help All Our Children Thrive.” Massachusetts Budget and Policy Center (2018). </w:t>
      </w:r>
    </w:p>
    <w:p w14:paraId="14C90B99" w14:textId="5B119659" w:rsidR="005073A4" w:rsidRDefault="005073A4" w:rsidP="007D69D3">
      <w:pPr>
        <w:spacing w:after="200"/>
        <w:rPr>
          <w:rFonts w:eastAsia="Times New Roman" w:cs="Times New Roman"/>
          <w:sz w:val="20"/>
          <w:szCs w:val="20"/>
        </w:rPr>
      </w:pPr>
      <w:r w:rsidRPr="00BF25A8">
        <w:rPr>
          <w:rFonts w:eastAsia="Times New Roman" w:cs="Times New Roman"/>
          <w:sz w:val="20"/>
          <w:szCs w:val="20"/>
        </w:rPr>
        <w:t xml:space="preserve">Knight, David S. </w:t>
      </w:r>
      <w:r w:rsidR="00301135">
        <w:rPr>
          <w:rFonts w:eastAsia="Times New Roman" w:cs="Times New Roman"/>
          <w:sz w:val="20"/>
          <w:szCs w:val="20"/>
        </w:rPr>
        <w:t>“</w:t>
      </w:r>
      <w:r w:rsidRPr="00BF25A8">
        <w:rPr>
          <w:rFonts w:eastAsia="Times New Roman" w:cs="Times New Roman"/>
          <w:sz w:val="20"/>
          <w:szCs w:val="20"/>
        </w:rPr>
        <w:t xml:space="preserve">Are school districts allocating resources equitably? </w:t>
      </w:r>
      <w:proofErr w:type="gramStart"/>
      <w:r w:rsidRPr="00BF25A8">
        <w:rPr>
          <w:rFonts w:eastAsia="Times New Roman" w:cs="Times New Roman"/>
          <w:sz w:val="20"/>
          <w:szCs w:val="20"/>
        </w:rPr>
        <w:t>The Every</w:t>
      </w:r>
      <w:proofErr w:type="gramEnd"/>
      <w:r w:rsidRPr="00BF25A8">
        <w:rPr>
          <w:rFonts w:eastAsia="Times New Roman" w:cs="Times New Roman"/>
          <w:sz w:val="20"/>
          <w:szCs w:val="20"/>
        </w:rPr>
        <w:t xml:space="preserve"> Student Succeeds Act, teacher experience gaps, and equitable resource allocation.</w:t>
      </w:r>
      <w:r w:rsidR="00301135">
        <w:rPr>
          <w:rFonts w:eastAsia="Times New Roman" w:cs="Times New Roman"/>
          <w:sz w:val="20"/>
          <w:szCs w:val="20"/>
        </w:rPr>
        <w:t>”</w:t>
      </w:r>
      <w:r w:rsidRPr="00BF25A8">
        <w:rPr>
          <w:rFonts w:eastAsia="Times New Roman" w:cs="Times New Roman"/>
          <w:sz w:val="20"/>
          <w:szCs w:val="20"/>
        </w:rPr>
        <w:t xml:space="preserve"> Educational Policy (2017): 0895904817719523.</w:t>
      </w:r>
    </w:p>
    <w:p w14:paraId="7FCEAA8B" w14:textId="544D854D" w:rsidR="005073A4" w:rsidRDefault="005073A4" w:rsidP="007D69D3">
      <w:pPr>
        <w:spacing w:after="200"/>
        <w:rPr>
          <w:rFonts w:eastAsia="Times New Roman" w:cs="Times New Roman"/>
          <w:sz w:val="20"/>
          <w:szCs w:val="20"/>
        </w:rPr>
      </w:pPr>
      <w:proofErr w:type="spellStart"/>
      <w:r w:rsidRPr="00BF25A8">
        <w:rPr>
          <w:rFonts w:eastAsia="Times New Roman" w:cs="Times New Roman"/>
          <w:sz w:val="20"/>
          <w:szCs w:val="20"/>
        </w:rPr>
        <w:t>Lafortune</w:t>
      </w:r>
      <w:proofErr w:type="spellEnd"/>
      <w:r w:rsidRPr="00BF25A8">
        <w:rPr>
          <w:rFonts w:eastAsia="Times New Roman" w:cs="Times New Roman"/>
          <w:sz w:val="20"/>
          <w:szCs w:val="20"/>
        </w:rPr>
        <w:t xml:space="preserve">, Julien, Jesse Rothstein, and Diane Whitmore </w:t>
      </w:r>
      <w:proofErr w:type="spellStart"/>
      <w:r w:rsidRPr="00BF25A8">
        <w:rPr>
          <w:rFonts w:eastAsia="Times New Roman" w:cs="Times New Roman"/>
          <w:sz w:val="20"/>
          <w:szCs w:val="20"/>
        </w:rPr>
        <w:t>Schanzenbach</w:t>
      </w:r>
      <w:proofErr w:type="spellEnd"/>
      <w:r w:rsidRPr="00BF25A8">
        <w:rPr>
          <w:rFonts w:eastAsia="Times New Roman" w:cs="Times New Roman"/>
          <w:sz w:val="20"/>
          <w:szCs w:val="20"/>
        </w:rPr>
        <w:t xml:space="preserve">. </w:t>
      </w:r>
      <w:r w:rsidR="00301135">
        <w:rPr>
          <w:rFonts w:eastAsia="Times New Roman" w:cs="Times New Roman"/>
          <w:sz w:val="20"/>
          <w:szCs w:val="20"/>
        </w:rPr>
        <w:t>“</w:t>
      </w:r>
      <w:r w:rsidRPr="00BF25A8">
        <w:rPr>
          <w:rFonts w:eastAsia="Times New Roman" w:cs="Times New Roman"/>
          <w:sz w:val="20"/>
          <w:szCs w:val="20"/>
        </w:rPr>
        <w:t>School finance reform and the distribution of student achievement.</w:t>
      </w:r>
      <w:r w:rsidR="00301135">
        <w:rPr>
          <w:rFonts w:eastAsia="Times New Roman" w:cs="Times New Roman"/>
          <w:sz w:val="20"/>
          <w:szCs w:val="20"/>
        </w:rPr>
        <w:t>”</w:t>
      </w:r>
      <w:r w:rsidRPr="00BF25A8">
        <w:rPr>
          <w:rFonts w:eastAsia="Times New Roman" w:cs="Times New Roman"/>
          <w:sz w:val="20"/>
          <w:szCs w:val="20"/>
        </w:rPr>
        <w:t xml:space="preserve"> American Economic Journal: Applied Economics 10, no. 2 (2018): 1</w:t>
      </w:r>
      <w:r>
        <w:rPr>
          <w:rFonts w:eastAsia="Times New Roman" w:cs="Times New Roman"/>
          <w:sz w:val="20"/>
          <w:szCs w:val="20"/>
        </w:rPr>
        <w:t>–</w:t>
      </w:r>
      <w:r w:rsidRPr="00BF25A8">
        <w:rPr>
          <w:rFonts w:eastAsia="Times New Roman" w:cs="Times New Roman"/>
          <w:sz w:val="20"/>
          <w:szCs w:val="20"/>
        </w:rPr>
        <w:t>26.</w:t>
      </w:r>
    </w:p>
    <w:p w14:paraId="36719F04" w14:textId="435AF1CE" w:rsidR="005073A4" w:rsidRDefault="005073A4" w:rsidP="007D69D3">
      <w:pPr>
        <w:spacing w:after="200"/>
        <w:rPr>
          <w:rFonts w:eastAsia="Times New Roman" w:cs="Times New Roman"/>
          <w:sz w:val="20"/>
          <w:szCs w:val="20"/>
        </w:rPr>
      </w:pPr>
      <w:proofErr w:type="spellStart"/>
      <w:r w:rsidRPr="00BF25A8">
        <w:rPr>
          <w:rFonts w:eastAsia="Times New Roman" w:cs="Times New Roman"/>
          <w:sz w:val="20"/>
          <w:szCs w:val="20"/>
        </w:rPr>
        <w:t>Malkus</w:t>
      </w:r>
      <w:proofErr w:type="spellEnd"/>
      <w:r w:rsidRPr="00BF25A8">
        <w:rPr>
          <w:rFonts w:eastAsia="Times New Roman" w:cs="Times New Roman"/>
          <w:sz w:val="20"/>
          <w:szCs w:val="20"/>
        </w:rPr>
        <w:t xml:space="preserve">, Nathaniel Nelson. </w:t>
      </w:r>
      <w:r w:rsidR="00301135">
        <w:rPr>
          <w:rFonts w:eastAsia="Times New Roman" w:cs="Times New Roman"/>
          <w:sz w:val="20"/>
          <w:szCs w:val="20"/>
        </w:rPr>
        <w:t>“</w:t>
      </w:r>
      <w:r w:rsidRPr="00BF25A8">
        <w:rPr>
          <w:rFonts w:eastAsia="Times New Roman" w:cs="Times New Roman"/>
          <w:sz w:val="20"/>
          <w:szCs w:val="20"/>
        </w:rPr>
        <w:t xml:space="preserve">Beneath the District Averages: </w:t>
      </w:r>
      <w:proofErr w:type="spellStart"/>
      <w:r w:rsidRPr="00BF25A8">
        <w:rPr>
          <w:rFonts w:eastAsia="Times New Roman" w:cs="Times New Roman"/>
          <w:sz w:val="20"/>
          <w:szCs w:val="20"/>
        </w:rPr>
        <w:t>Intradistrict</w:t>
      </w:r>
      <w:proofErr w:type="spellEnd"/>
      <w:r w:rsidRPr="00BF25A8">
        <w:rPr>
          <w:rFonts w:eastAsia="Times New Roman" w:cs="Times New Roman"/>
          <w:sz w:val="20"/>
          <w:szCs w:val="20"/>
        </w:rPr>
        <w:t xml:space="preserve"> differences in teacher compensation expenditures.</w:t>
      </w:r>
      <w:r w:rsidR="00301135">
        <w:rPr>
          <w:rFonts w:eastAsia="Times New Roman" w:cs="Times New Roman"/>
          <w:sz w:val="20"/>
          <w:szCs w:val="20"/>
        </w:rPr>
        <w:t>”</w:t>
      </w:r>
      <w:r w:rsidRPr="00BF25A8">
        <w:rPr>
          <w:rFonts w:eastAsia="Times New Roman" w:cs="Times New Roman"/>
          <w:sz w:val="20"/>
          <w:szCs w:val="20"/>
        </w:rPr>
        <w:t xml:space="preserve"> PhD diss., 2012.</w:t>
      </w:r>
    </w:p>
    <w:p w14:paraId="3FEE347F" w14:textId="2D2D926B" w:rsidR="005073A4" w:rsidRDefault="005073A4" w:rsidP="007D69D3">
      <w:pPr>
        <w:spacing w:after="200"/>
        <w:rPr>
          <w:rFonts w:eastAsia="Times New Roman" w:cs="Times New Roman"/>
          <w:sz w:val="20"/>
          <w:szCs w:val="20"/>
        </w:rPr>
      </w:pPr>
      <w:r>
        <w:rPr>
          <w:rFonts w:eastAsia="Times New Roman" w:cs="Times New Roman"/>
          <w:sz w:val="20"/>
          <w:szCs w:val="20"/>
        </w:rPr>
        <w:t>Massachusetts Department of Elementary and Secondary Education. “School Finance: Chapter 70 Program.” September 2018.</w:t>
      </w:r>
    </w:p>
    <w:p w14:paraId="3060B006" w14:textId="2EEC398A" w:rsidR="005073A4" w:rsidRDefault="005073A4" w:rsidP="007D69D3">
      <w:pPr>
        <w:spacing w:after="200"/>
        <w:rPr>
          <w:rFonts w:eastAsia="Times New Roman" w:cs="Times New Roman"/>
          <w:sz w:val="20"/>
          <w:szCs w:val="20"/>
        </w:rPr>
      </w:pPr>
      <w:proofErr w:type="spellStart"/>
      <w:r w:rsidRPr="00BF25A8">
        <w:rPr>
          <w:rFonts w:eastAsia="Times New Roman" w:cs="Times New Roman"/>
          <w:sz w:val="20"/>
          <w:szCs w:val="20"/>
        </w:rPr>
        <w:t>Roza</w:t>
      </w:r>
      <w:proofErr w:type="spellEnd"/>
      <w:r w:rsidRPr="00BF25A8">
        <w:rPr>
          <w:rFonts w:eastAsia="Times New Roman" w:cs="Times New Roman"/>
          <w:sz w:val="20"/>
          <w:szCs w:val="20"/>
        </w:rPr>
        <w:t xml:space="preserve">, Marguerite, Kacey </w:t>
      </w:r>
      <w:proofErr w:type="spellStart"/>
      <w:r w:rsidRPr="00BF25A8">
        <w:rPr>
          <w:rFonts w:eastAsia="Times New Roman" w:cs="Times New Roman"/>
          <w:sz w:val="20"/>
          <w:szCs w:val="20"/>
        </w:rPr>
        <w:t>Guin</w:t>
      </w:r>
      <w:proofErr w:type="spellEnd"/>
      <w:r w:rsidRPr="00BF25A8">
        <w:rPr>
          <w:rFonts w:eastAsia="Times New Roman" w:cs="Times New Roman"/>
          <w:sz w:val="20"/>
          <w:szCs w:val="20"/>
        </w:rPr>
        <w:t xml:space="preserve">, </w:t>
      </w:r>
      <w:proofErr w:type="spellStart"/>
      <w:r w:rsidRPr="00BF25A8">
        <w:rPr>
          <w:rFonts w:eastAsia="Times New Roman" w:cs="Times New Roman"/>
          <w:sz w:val="20"/>
          <w:szCs w:val="20"/>
        </w:rPr>
        <w:t>Betheny</w:t>
      </w:r>
      <w:proofErr w:type="spellEnd"/>
      <w:r w:rsidRPr="00BF25A8">
        <w:rPr>
          <w:rFonts w:eastAsia="Times New Roman" w:cs="Times New Roman"/>
          <w:sz w:val="20"/>
          <w:szCs w:val="20"/>
        </w:rPr>
        <w:t xml:space="preserve"> Gross, and Scott </w:t>
      </w:r>
      <w:proofErr w:type="spellStart"/>
      <w:r w:rsidRPr="00BF25A8">
        <w:rPr>
          <w:rFonts w:eastAsia="Times New Roman" w:cs="Times New Roman"/>
          <w:sz w:val="20"/>
          <w:szCs w:val="20"/>
        </w:rPr>
        <w:t>Deburgomaster</w:t>
      </w:r>
      <w:proofErr w:type="spellEnd"/>
      <w:r w:rsidRPr="00BF25A8">
        <w:rPr>
          <w:rFonts w:eastAsia="Times New Roman" w:cs="Times New Roman"/>
          <w:sz w:val="20"/>
          <w:szCs w:val="20"/>
        </w:rPr>
        <w:t xml:space="preserve">. </w:t>
      </w:r>
      <w:r w:rsidR="00301135">
        <w:rPr>
          <w:rFonts w:eastAsia="Times New Roman" w:cs="Times New Roman"/>
          <w:sz w:val="20"/>
          <w:szCs w:val="20"/>
        </w:rPr>
        <w:t>“</w:t>
      </w:r>
      <w:r w:rsidRPr="00BF25A8">
        <w:rPr>
          <w:rFonts w:eastAsia="Times New Roman" w:cs="Times New Roman"/>
          <w:sz w:val="20"/>
          <w:szCs w:val="20"/>
        </w:rPr>
        <w:t>Do districts fund schools fairly? In Texas, differences are larger within districts than between.</w:t>
      </w:r>
      <w:r w:rsidR="00301135">
        <w:rPr>
          <w:rFonts w:eastAsia="Times New Roman" w:cs="Times New Roman"/>
          <w:sz w:val="20"/>
          <w:szCs w:val="20"/>
        </w:rPr>
        <w:t>”</w:t>
      </w:r>
      <w:r w:rsidRPr="00BF25A8">
        <w:rPr>
          <w:rFonts w:eastAsia="Times New Roman" w:cs="Times New Roman"/>
          <w:sz w:val="20"/>
          <w:szCs w:val="20"/>
        </w:rPr>
        <w:t xml:space="preserve"> Education Next 7, no. 4 (2007): 68</w:t>
      </w:r>
      <w:r>
        <w:rPr>
          <w:rFonts w:eastAsia="Times New Roman" w:cs="Times New Roman"/>
          <w:sz w:val="20"/>
          <w:szCs w:val="20"/>
        </w:rPr>
        <w:t>–</w:t>
      </w:r>
      <w:r w:rsidRPr="00BF25A8">
        <w:rPr>
          <w:rFonts w:eastAsia="Times New Roman" w:cs="Times New Roman"/>
          <w:sz w:val="20"/>
          <w:szCs w:val="20"/>
        </w:rPr>
        <w:t>74.</w:t>
      </w:r>
    </w:p>
    <w:p w14:paraId="084D9F63" w14:textId="06779986" w:rsidR="005073A4" w:rsidRDefault="005073A4" w:rsidP="007D69D3">
      <w:pPr>
        <w:spacing w:after="200"/>
        <w:rPr>
          <w:rFonts w:eastAsia="Times New Roman" w:cs="Times New Roman"/>
          <w:sz w:val="20"/>
          <w:szCs w:val="20"/>
        </w:rPr>
      </w:pPr>
      <w:r w:rsidRPr="00BF25A8">
        <w:rPr>
          <w:rFonts w:eastAsia="Times New Roman" w:cs="Times New Roman"/>
          <w:sz w:val="20"/>
          <w:szCs w:val="20"/>
        </w:rPr>
        <w:t xml:space="preserve">Rubenstein, Ross, Amy Ellen Schwartz, Leanna </w:t>
      </w:r>
      <w:proofErr w:type="spellStart"/>
      <w:r w:rsidRPr="00BF25A8">
        <w:rPr>
          <w:rFonts w:eastAsia="Times New Roman" w:cs="Times New Roman"/>
          <w:sz w:val="20"/>
          <w:szCs w:val="20"/>
        </w:rPr>
        <w:t>Stiefel</w:t>
      </w:r>
      <w:proofErr w:type="spellEnd"/>
      <w:r w:rsidRPr="00BF25A8">
        <w:rPr>
          <w:rFonts w:eastAsia="Times New Roman" w:cs="Times New Roman"/>
          <w:sz w:val="20"/>
          <w:szCs w:val="20"/>
        </w:rPr>
        <w:t xml:space="preserve">, and Hella Bel </w:t>
      </w:r>
      <w:proofErr w:type="spellStart"/>
      <w:r w:rsidRPr="00BF25A8">
        <w:rPr>
          <w:rFonts w:eastAsia="Times New Roman" w:cs="Times New Roman"/>
          <w:sz w:val="20"/>
          <w:szCs w:val="20"/>
        </w:rPr>
        <w:t>Hadj</w:t>
      </w:r>
      <w:proofErr w:type="spellEnd"/>
      <w:r w:rsidRPr="00BF25A8">
        <w:rPr>
          <w:rFonts w:eastAsia="Times New Roman" w:cs="Times New Roman"/>
          <w:sz w:val="20"/>
          <w:szCs w:val="20"/>
        </w:rPr>
        <w:t xml:space="preserve"> Amor. </w:t>
      </w:r>
      <w:r w:rsidR="00301135">
        <w:rPr>
          <w:rFonts w:eastAsia="Times New Roman" w:cs="Times New Roman"/>
          <w:sz w:val="20"/>
          <w:szCs w:val="20"/>
        </w:rPr>
        <w:t>“</w:t>
      </w:r>
      <w:r w:rsidRPr="00BF25A8">
        <w:rPr>
          <w:rFonts w:eastAsia="Times New Roman" w:cs="Times New Roman"/>
          <w:sz w:val="20"/>
          <w:szCs w:val="20"/>
        </w:rPr>
        <w:t>From districts to schools: The distribution of resources across schools in big city school districts.</w:t>
      </w:r>
      <w:r w:rsidR="00301135">
        <w:rPr>
          <w:rFonts w:eastAsia="Times New Roman" w:cs="Times New Roman"/>
          <w:sz w:val="20"/>
          <w:szCs w:val="20"/>
        </w:rPr>
        <w:t>”</w:t>
      </w:r>
      <w:r w:rsidRPr="00BF25A8">
        <w:rPr>
          <w:rFonts w:eastAsia="Times New Roman" w:cs="Times New Roman"/>
          <w:sz w:val="20"/>
          <w:szCs w:val="20"/>
        </w:rPr>
        <w:t xml:space="preserve"> Economics of Education Review 26, no. 5 (2007): 532</w:t>
      </w:r>
      <w:r>
        <w:rPr>
          <w:rFonts w:eastAsia="Times New Roman" w:cs="Times New Roman"/>
          <w:sz w:val="20"/>
          <w:szCs w:val="20"/>
        </w:rPr>
        <w:t>–</w:t>
      </w:r>
      <w:r w:rsidRPr="00BF25A8">
        <w:rPr>
          <w:rFonts w:eastAsia="Times New Roman" w:cs="Times New Roman"/>
          <w:sz w:val="20"/>
          <w:szCs w:val="20"/>
        </w:rPr>
        <w:t>45.</w:t>
      </w:r>
    </w:p>
    <w:p w14:paraId="1B0529D2" w14:textId="352CDACB" w:rsidR="000A4C9E" w:rsidRDefault="005073A4" w:rsidP="007D69D3">
      <w:pPr>
        <w:spacing w:after="200"/>
        <w:rPr>
          <w:rFonts w:eastAsia="Times New Roman" w:cs="Times New Roman"/>
          <w:sz w:val="20"/>
          <w:szCs w:val="20"/>
        </w:rPr>
        <w:sectPr w:rsidR="000A4C9E" w:rsidSect="000A4C9E">
          <w:type w:val="continuous"/>
          <w:pgSz w:w="12240" w:h="15840"/>
          <w:pgMar w:top="990" w:right="1440" w:bottom="810" w:left="1440" w:header="720" w:footer="720" w:gutter="0"/>
          <w:cols w:space="720"/>
          <w:docGrid w:linePitch="360"/>
        </w:sectPr>
      </w:pPr>
      <w:r w:rsidRPr="00BF25A8">
        <w:rPr>
          <w:rFonts w:eastAsia="Times New Roman" w:cs="Times New Roman"/>
          <w:sz w:val="20"/>
          <w:szCs w:val="20"/>
        </w:rPr>
        <w:t xml:space="preserve">Shores, Kenneth, and Simon </w:t>
      </w:r>
      <w:proofErr w:type="spellStart"/>
      <w:r w:rsidRPr="00BF25A8">
        <w:rPr>
          <w:rFonts w:eastAsia="Times New Roman" w:cs="Times New Roman"/>
          <w:sz w:val="20"/>
          <w:szCs w:val="20"/>
        </w:rPr>
        <w:t>Ejdemyr</w:t>
      </w:r>
      <w:proofErr w:type="spellEnd"/>
      <w:r w:rsidRPr="00BF25A8">
        <w:rPr>
          <w:rFonts w:eastAsia="Times New Roman" w:cs="Times New Roman"/>
          <w:sz w:val="20"/>
          <w:szCs w:val="20"/>
        </w:rPr>
        <w:t xml:space="preserve">. </w:t>
      </w:r>
      <w:r w:rsidR="00301135">
        <w:rPr>
          <w:rFonts w:eastAsia="Times New Roman" w:cs="Times New Roman"/>
          <w:sz w:val="20"/>
          <w:szCs w:val="20"/>
        </w:rPr>
        <w:t>“</w:t>
      </w:r>
      <w:r w:rsidRPr="00BF25A8">
        <w:rPr>
          <w:rFonts w:eastAsia="Times New Roman" w:cs="Times New Roman"/>
          <w:sz w:val="20"/>
          <w:szCs w:val="20"/>
        </w:rPr>
        <w:t xml:space="preserve">Pulling back the curtain: </w:t>
      </w:r>
      <w:proofErr w:type="spellStart"/>
      <w:r w:rsidRPr="00BF25A8">
        <w:rPr>
          <w:rFonts w:eastAsia="Times New Roman" w:cs="Times New Roman"/>
          <w:sz w:val="20"/>
          <w:szCs w:val="20"/>
        </w:rPr>
        <w:t>Intradistrict</w:t>
      </w:r>
      <w:proofErr w:type="spellEnd"/>
      <w:r w:rsidRPr="00BF25A8">
        <w:rPr>
          <w:rFonts w:eastAsia="Times New Roman" w:cs="Times New Roman"/>
          <w:sz w:val="20"/>
          <w:szCs w:val="20"/>
        </w:rPr>
        <w:t xml:space="preserve"> school spending inequality and its correlates.</w:t>
      </w:r>
      <w:r w:rsidR="00301135">
        <w:rPr>
          <w:rFonts w:eastAsia="Times New Roman" w:cs="Times New Roman"/>
          <w:sz w:val="20"/>
          <w:szCs w:val="20"/>
        </w:rPr>
        <w:t>”</w:t>
      </w:r>
      <w:r w:rsidRPr="00BF25A8">
        <w:rPr>
          <w:rFonts w:eastAsia="Times New Roman" w:cs="Times New Roman"/>
          <w:sz w:val="20"/>
          <w:szCs w:val="20"/>
        </w:rPr>
        <w:t xml:space="preserve"> Available at SSRN 3009775 (2017).</w:t>
      </w:r>
    </w:p>
    <w:p w14:paraId="707810DC" w14:textId="6E0FCB9F" w:rsidR="005073A4" w:rsidRPr="00E2482A" w:rsidRDefault="005073A4" w:rsidP="007D69D3">
      <w:pPr>
        <w:pStyle w:val="Heading1"/>
        <w:spacing w:after="200"/>
        <w:ind w:left="12" w:right="4"/>
        <w:rPr>
          <w:rFonts w:ascii="Georgia" w:hAnsi="Georgia"/>
          <w:color w:val="004386"/>
          <w:sz w:val="26"/>
          <w:szCs w:val="26"/>
        </w:rPr>
      </w:pPr>
      <w:r>
        <w:rPr>
          <w:rFonts w:ascii="Georgia" w:hAnsi="Georgia"/>
          <w:color w:val="004386"/>
          <w:sz w:val="26"/>
          <w:szCs w:val="26"/>
        </w:rPr>
        <w:lastRenderedPageBreak/>
        <w:t>Appendix</w:t>
      </w:r>
    </w:p>
    <w:p w14:paraId="492BBE02" w14:textId="77777777" w:rsidR="005073A4" w:rsidRPr="005801E4" w:rsidRDefault="004E14CB" w:rsidP="007D69D3">
      <w:pPr>
        <w:spacing w:after="200"/>
        <w:rPr>
          <w:rFonts w:ascii="Times New Roman" w:hAnsi="Times New Roman" w:cs="Times New Roman"/>
          <w:sz w:val="24"/>
          <w:szCs w:val="24"/>
        </w:rPr>
      </w:pPr>
      <w:r>
        <w:rPr>
          <w:rFonts w:ascii="Times New Roman" w:hAnsi="Times New Roman" w:cs="Times New Roman"/>
          <w:b/>
          <w:sz w:val="24"/>
          <w:szCs w:val="24"/>
        </w:rPr>
        <w:pict w14:anchorId="0A1F5E79">
          <v:rect id="_x0000_i1026" style="width:3in;height:1.5pt" o:hralign="center" o:hrstd="t" o:hrnoshade="t" o:hr="t" fillcolor="#004386" stroked="f"/>
        </w:pict>
      </w:r>
    </w:p>
    <w:p w14:paraId="20E7AF9D" w14:textId="1F99EB5B" w:rsidR="005073A4" w:rsidRPr="00835094" w:rsidRDefault="005073A4" w:rsidP="007D69D3">
      <w:pPr>
        <w:spacing w:after="200"/>
        <w:rPr>
          <w:b/>
        </w:rPr>
      </w:pPr>
      <w:r w:rsidRPr="00835094">
        <w:rPr>
          <w:b/>
        </w:rPr>
        <w:t>Methodology</w:t>
      </w:r>
    </w:p>
    <w:p w14:paraId="7348ED0E" w14:textId="00FC9204" w:rsidR="005073A4" w:rsidRDefault="005073A4" w:rsidP="007D69D3">
      <w:pPr>
        <w:spacing w:after="200"/>
        <w:rPr>
          <w:color w:val="000000" w:themeColor="text1"/>
        </w:rPr>
      </w:pPr>
      <w:r w:rsidRPr="00570413">
        <w:t>For this analysis, we use per</w:t>
      </w:r>
      <w:r>
        <w:t xml:space="preserve"> </w:t>
      </w:r>
      <w:r w:rsidRPr="00570413">
        <w:t>pupil school-level spending data from the 201</w:t>
      </w:r>
      <w:r>
        <w:t>6–</w:t>
      </w:r>
      <w:r w:rsidRPr="00570413">
        <w:t>1</w:t>
      </w:r>
      <w:r>
        <w:t>7</w:t>
      </w:r>
      <w:r w:rsidRPr="00570413">
        <w:t xml:space="preserve"> school year for traditional public schools</w:t>
      </w:r>
      <w:r>
        <w:t xml:space="preserve"> (we exclude charter schools)</w:t>
      </w:r>
      <w:r w:rsidRPr="00570413">
        <w:t xml:space="preserve">. A pupil is defined as the full-time equivalent count based on actual days </w:t>
      </w:r>
      <w:r>
        <w:t xml:space="preserve">the </w:t>
      </w:r>
      <w:r w:rsidRPr="00570413">
        <w:t>student spent in the school over the year.</w:t>
      </w:r>
      <w:r w:rsidRPr="0079339F">
        <w:t xml:space="preserve"> </w:t>
      </w:r>
      <w:r>
        <w:rPr>
          <w:color w:val="000000" w:themeColor="text1"/>
        </w:rPr>
        <w:t>Spending per pupil is reported</w:t>
      </w:r>
      <w:r w:rsidRPr="0029009F">
        <w:rPr>
          <w:color w:val="000000" w:themeColor="text1"/>
        </w:rPr>
        <w:t xml:space="preserve"> at the school level for </w:t>
      </w:r>
      <w:r>
        <w:rPr>
          <w:color w:val="000000" w:themeColor="text1"/>
        </w:rPr>
        <w:t>such expense</w:t>
      </w:r>
      <w:r w:rsidRPr="0029009F">
        <w:rPr>
          <w:color w:val="000000" w:themeColor="text1"/>
        </w:rPr>
        <w:t>s as school leadersh</w:t>
      </w:r>
      <w:r>
        <w:rPr>
          <w:color w:val="000000" w:themeColor="text1"/>
        </w:rPr>
        <w:t>ip and professional development, but a</w:t>
      </w:r>
      <w:r w:rsidRPr="0029009F">
        <w:rPr>
          <w:color w:val="000000" w:themeColor="text1"/>
        </w:rPr>
        <w:t>dministrative costs (</w:t>
      </w:r>
      <w:r>
        <w:rPr>
          <w:color w:val="000000" w:themeColor="text1"/>
        </w:rPr>
        <w:t>e.g.,</w:t>
      </w:r>
      <w:r w:rsidRPr="0029009F">
        <w:rPr>
          <w:color w:val="000000" w:themeColor="text1"/>
        </w:rPr>
        <w:t xml:space="preserve"> the costs of a central office) are reported at the district level. For this report, we assume these district-level administrativ</w:t>
      </w:r>
      <w:r>
        <w:rPr>
          <w:color w:val="000000" w:themeColor="text1"/>
        </w:rPr>
        <w:t xml:space="preserve">e costs are equally distributed, per pupil, </w:t>
      </w:r>
      <w:r w:rsidRPr="0029009F">
        <w:rPr>
          <w:color w:val="000000" w:themeColor="text1"/>
        </w:rPr>
        <w:t xml:space="preserve">at the school level, and we look </w:t>
      </w:r>
      <w:r>
        <w:rPr>
          <w:color w:val="000000" w:themeColor="text1"/>
        </w:rPr>
        <w:t>at</w:t>
      </w:r>
      <w:r w:rsidRPr="0029009F">
        <w:rPr>
          <w:color w:val="000000" w:themeColor="text1"/>
        </w:rPr>
        <w:t xml:space="preserve"> overall spending per </w:t>
      </w:r>
      <w:r>
        <w:rPr>
          <w:color w:val="000000" w:themeColor="text1"/>
        </w:rPr>
        <w:t>pupil</w:t>
      </w:r>
      <w:r w:rsidRPr="0029009F">
        <w:rPr>
          <w:color w:val="000000" w:themeColor="text1"/>
        </w:rPr>
        <w:t>.</w:t>
      </w:r>
      <w:r>
        <w:rPr>
          <w:color w:val="000000" w:themeColor="text1"/>
        </w:rPr>
        <w:t xml:space="preserve"> We look at total spending, including funds from local, state, and federal sources.</w:t>
      </w:r>
    </w:p>
    <w:p w14:paraId="4FBB15D1" w14:textId="30E19C6C" w:rsidR="005073A4" w:rsidRDefault="005073A4" w:rsidP="007D69D3">
      <w:pPr>
        <w:spacing w:after="200"/>
      </w:pPr>
      <w:r w:rsidRPr="00570413">
        <w:t>Our analys</w:t>
      </w:r>
      <w:r>
        <w:t xml:space="preserve">es </w:t>
      </w:r>
      <w:r w:rsidRPr="00570413">
        <w:t>exclude alternative schools</w:t>
      </w:r>
      <w:r>
        <w:t xml:space="preserve"> and</w:t>
      </w:r>
      <w:r w:rsidRPr="00570413">
        <w:t xml:space="preserve"> schools designated for students with disabilities and schools where more than 50 percent of pupils have special needs.</w:t>
      </w:r>
      <w:r>
        <w:t xml:space="preserve"> We also exclude </w:t>
      </w:r>
      <w:r w:rsidR="000D546A">
        <w:t xml:space="preserve">the </w:t>
      </w:r>
      <w:proofErr w:type="spellStart"/>
      <w:r w:rsidR="000D546A">
        <w:t>Gosnold</w:t>
      </w:r>
      <w:proofErr w:type="spellEnd"/>
      <w:r w:rsidR="000D546A">
        <w:t xml:space="preserve"> school d</w:t>
      </w:r>
      <w:r>
        <w:t>istrict</w:t>
      </w:r>
      <w:r w:rsidR="000D546A">
        <w:t xml:space="preserve"> because it has so few students</w:t>
      </w:r>
      <w:r>
        <w:t xml:space="preserve">. </w:t>
      </w:r>
      <w:r w:rsidRPr="00835094">
        <w:t xml:space="preserve">For our analyses using grade span, a school is classified as an elementary school if it serves at least one elementary grade (grade level labeled as </w:t>
      </w:r>
      <w:r>
        <w:t xml:space="preserve">early elementary school, or </w:t>
      </w:r>
      <w:r w:rsidRPr="00835094">
        <w:t>EES</w:t>
      </w:r>
      <w:r>
        <w:t>;</w:t>
      </w:r>
      <w:r w:rsidRPr="00835094">
        <w:t xml:space="preserve"> </w:t>
      </w:r>
      <w:r>
        <w:t xml:space="preserve">elementary school, or </w:t>
      </w:r>
      <w:r w:rsidRPr="00835094">
        <w:t>ES</w:t>
      </w:r>
      <w:r>
        <w:t>; or elementary school–middle school, or</w:t>
      </w:r>
      <w:r w:rsidRPr="00835094">
        <w:t xml:space="preserve"> ESMS). Early elementary schools are excluded from the elementary classification; schools are classified </w:t>
      </w:r>
      <w:r>
        <w:t xml:space="preserve">by the Department of Elementary and Secondary Education </w:t>
      </w:r>
      <w:r w:rsidRPr="00835094">
        <w:t xml:space="preserve">as early elementary if grades served </w:t>
      </w:r>
      <w:r>
        <w:t xml:space="preserve">are below third grade. </w:t>
      </w:r>
      <w:r w:rsidRPr="00835094">
        <w:t>A school is classified as high school if it serves at least one high school grade (</w:t>
      </w:r>
      <w:r>
        <w:t xml:space="preserve">middle school–high school, or </w:t>
      </w:r>
      <w:r w:rsidRPr="00835094">
        <w:t>MSHS</w:t>
      </w:r>
      <w:r>
        <w:t>; high school, or</w:t>
      </w:r>
      <w:r w:rsidRPr="00835094">
        <w:t xml:space="preserve"> HS</w:t>
      </w:r>
      <w:r>
        <w:t>; or</w:t>
      </w:r>
      <w:r w:rsidRPr="00835094">
        <w:t xml:space="preserve"> K</w:t>
      </w:r>
      <w:r>
        <w:t>–</w:t>
      </w:r>
      <w:r w:rsidRPr="00835094">
        <w:t>12) and is not a vocational school.</w:t>
      </w:r>
    </w:p>
    <w:p w14:paraId="1CB81BCD" w14:textId="33C57F6C" w:rsidR="00224B13" w:rsidRPr="00835094" w:rsidRDefault="00224B13" w:rsidP="007D69D3">
      <w:pPr>
        <w:spacing w:after="200"/>
        <w:rPr>
          <w:b/>
        </w:rPr>
      </w:pPr>
      <w:r>
        <w:rPr>
          <w:b/>
        </w:rPr>
        <w:t>Other Factors</w:t>
      </w:r>
    </w:p>
    <w:p w14:paraId="217D0838" w14:textId="345BFCE1" w:rsidR="00224B13" w:rsidRDefault="00BE2F18" w:rsidP="007D69D3">
      <w:pPr>
        <w:spacing w:after="200"/>
      </w:pPr>
      <w:r>
        <w:t>We examined other possible factors affecting school</w:t>
      </w:r>
      <w:r w:rsidR="00301135">
        <w:t>-</w:t>
      </w:r>
      <w:r>
        <w:t xml:space="preserve">level expenditures. The </w:t>
      </w:r>
      <w:r w:rsidR="000761A6">
        <w:t xml:space="preserve">two </w:t>
      </w:r>
      <w:r>
        <w:t>following figures summarize our initial results in looking at teacher salary levels, teacher staffing levels, and the distribution of federal funding across schools by grade span.</w:t>
      </w:r>
    </w:p>
    <w:p w14:paraId="50F73F8E" w14:textId="77777777" w:rsidR="00224B13" w:rsidRDefault="00224B13" w:rsidP="007D69D3">
      <w:pPr>
        <w:keepNext/>
        <w:keepLines/>
        <w:spacing w:before="200" w:after="200"/>
        <w:outlineLvl w:val="2"/>
        <w:rPr>
          <w:rFonts w:ascii="Georgia" w:hAnsi="Georgia" w:cstheme="minorHAnsi"/>
          <w:b/>
          <w:i/>
          <w:color w:val="004386"/>
        </w:rPr>
      </w:pPr>
      <w:r>
        <w:rPr>
          <w:rFonts w:ascii="Georgia" w:hAnsi="Georgia" w:cstheme="minorHAnsi"/>
          <w:b/>
          <w:i/>
          <w:color w:val="004386"/>
        </w:rPr>
        <w:br w:type="page"/>
      </w:r>
    </w:p>
    <w:p w14:paraId="6AA35C64" w14:textId="48010227" w:rsidR="005073A4" w:rsidRPr="005073A4" w:rsidRDefault="005073A4" w:rsidP="00780CBF">
      <w:pPr>
        <w:keepNext/>
        <w:keepLines/>
        <w:spacing w:before="200" w:after="200"/>
        <w:outlineLvl w:val="2"/>
        <w:rPr>
          <w:b/>
        </w:rPr>
      </w:pPr>
      <w:r w:rsidRPr="005073A4">
        <w:rPr>
          <w:b/>
        </w:rPr>
        <w:lastRenderedPageBreak/>
        <w:t>Appendix Figure 1.   Controlling for local labor costs, average teacher salaries are lower in schools with a higher share of economically disadvantaged pupils, holding constant the share of students with disabilities and English learners</w:t>
      </w:r>
    </w:p>
    <w:p w14:paraId="181C63E3" w14:textId="42ABB0F7" w:rsidR="005073A4" w:rsidRDefault="00895C8B" w:rsidP="00895C8B">
      <w:pPr>
        <w:spacing w:after="200"/>
        <w:jc w:val="center"/>
        <w:rPr>
          <w:b/>
        </w:rPr>
      </w:pPr>
      <w:r>
        <w:rPr>
          <w:b/>
          <w:noProof/>
        </w:rPr>
        <w:drawing>
          <wp:inline distT="0" distB="0" distL="0" distR="0" wp14:anchorId="5C549A62" wp14:editId="019955F6">
            <wp:extent cx="5168881" cy="3305175"/>
            <wp:effectExtent l="0" t="0" r="0" b="0"/>
            <wp:docPr id="5" name="Picture 5" descr="Appendix Figure 1: This is a bar graph that shows the  estimated change in average teacher salary across the state per standard deviation increase in the share of each subgroup population controlling for local labor costs. It shows that average teacher salaries are lower in schools with a higher share of economically disadvantaged pupils, holding constant the share of students with disabilities and English learners.&#10;&#10;Economically disadvantaged pupils: $3,284 less&#10;Pupils with disabilities: $1,220 more&#10;English learners: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6558" cy="3310084"/>
                    </a:xfrm>
                    <a:prstGeom prst="rect">
                      <a:avLst/>
                    </a:prstGeom>
                    <a:noFill/>
                  </pic:spPr>
                </pic:pic>
              </a:graphicData>
            </a:graphic>
          </wp:inline>
        </w:drawing>
      </w:r>
    </w:p>
    <w:p w14:paraId="1430C319" w14:textId="175F5D66" w:rsidR="005073A4" w:rsidRDefault="005073A4" w:rsidP="007D69D3">
      <w:pPr>
        <w:spacing w:after="200"/>
        <w:rPr>
          <w:b/>
        </w:rPr>
      </w:pPr>
    </w:p>
    <w:p w14:paraId="2DB9626F" w14:textId="62F6C519" w:rsidR="005073A4" w:rsidRDefault="005073A4" w:rsidP="007D69D3">
      <w:pPr>
        <w:spacing w:after="200"/>
        <w:rPr>
          <w:b/>
        </w:rPr>
      </w:pPr>
      <w:r w:rsidRPr="005073A4">
        <w:rPr>
          <w:b/>
        </w:rPr>
        <w:t>Appendix Figure 2: As the number of teachers per 100 pupils increases, the typical teacher salary within the school tends to decline</w:t>
      </w:r>
    </w:p>
    <w:p w14:paraId="56F48859" w14:textId="62452938" w:rsidR="005073A4" w:rsidRPr="003F41B2" w:rsidRDefault="003F41B2" w:rsidP="00895C8B">
      <w:pPr>
        <w:spacing w:after="200"/>
        <w:jc w:val="center"/>
        <w:rPr>
          <w:b/>
        </w:rPr>
      </w:pPr>
      <w:r>
        <w:rPr>
          <w:b/>
          <w:noProof/>
        </w:rPr>
        <w:drawing>
          <wp:inline distT="0" distB="0" distL="0" distR="0" wp14:anchorId="6B0DA4C2" wp14:editId="6CDF2BCD">
            <wp:extent cx="5172075" cy="3057544"/>
            <wp:effectExtent l="0" t="0" r="0" b="9525"/>
            <wp:docPr id="30" name="Picture 30" descr="Appendix Figure 2: This is a bar graph that shows that as the number of teachers per 100 pupils increases in a school, the typical teacher salary within school tends to decline. For example, the median average salary in a school with less than 5 teachers per 100 pupils is about $100,000 a year, while the median average salary in a school with 10 or more teachers per 100 pupils is about $80,000 a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4846" cy="3065094"/>
                    </a:xfrm>
                    <a:prstGeom prst="rect">
                      <a:avLst/>
                    </a:prstGeom>
                    <a:noFill/>
                  </pic:spPr>
                </pic:pic>
              </a:graphicData>
            </a:graphic>
          </wp:inline>
        </w:drawing>
      </w:r>
    </w:p>
    <w:sectPr w:rsidR="005073A4" w:rsidRPr="003F41B2" w:rsidSect="005831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0DE1F" w14:textId="77777777" w:rsidR="004E14CB" w:rsidRDefault="004E14CB" w:rsidP="00376B64">
      <w:pPr>
        <w:spacing w:after="0" w:line="240" w:lineRule="auto"/>
      </w:pPr>
      <w:r>
        <w:separator/>
      </w:r>
    </w:p>
  </w:endnote>
  <w:endnote w:type="continuationSeparator" w:id="0">
    <w:p w14:paraId="7F0EA8A2" w14:textId="77777777" w:rsidR="004E14CB" w:rsidRDefault="004E14CB" w:rsidP="00376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83F4" w14:textId="77777777" w:rsidR="004E1A55" w:rsidRDefault="004E1A55" w:rsidP="00390D77">
    <w:pPr>
      <w:pStyle w:val="Footer"/>
      <w:jc w:val="right"/>
    </w:pPr>
  </w:p>
  <w:p w14:paraId="502CF018" w14:textId="014AEE23" w:rsidR="004E1A55" w:rsidRDefault="004E1A55">
    <w:pPr>
      <w:pStyle w:val="Footer"/>
    </w:pPr>
    <w:r w:rsidRPr="00B1609E">
      <w:rPr>
        <w:rFonts w:asciiTheme="majorHAnsi" w:hAnsiTheme="majorHAnsi"/>
        <w:b/>
        <w:noProof/>
        <w:color w:val="FFFFFF" w:themeColor="background1"/>
      </w:rPr>
      <mc:AlternateContent>
        <mc:Choice Requires="wps">
          <w:drawing>
            <wp:anchor distT="0" distB="0" distL="114300" distR="114300" simplePos="0" relativeHeight="251661312" behindDoc="1" locked="0" layoutInCell="1" allowOverlap="1" wp14:anchorId="6703BB5B" wp14:editId="7E2B8F2B">
              <wp:simplePos x="0" y="0"/>
              <wp:positionH relativeFrom="page">
                <wp:posOffset>609599</wp:posOffset>
              </wp:positionH>
              <wp:positionV relativeFrom="paragraph">
                <wp:posOffset>104140</wp:posOffset>
              </wp:positionV>
              <wp:extent cx="7115175" cy="300250"/>
              <wp:effectExtent l="38100" t="57150" r="28575" b="43180"/>
              <wp:wrapNone/>
              <wp:docPr id="1" name="Pentagon 1"/>
              <wp:cNvGraphicFramePr/>
              <a:graphic xmlns:a="http://schemas.openxmlformats.org/drawingml/2006/main">
                <a:graphicData uri="http://schemas.microsoft.com/office/word/2010/wordprocessingShape">
                  <wps:wsp>
                    <wps:cNvSpPr/>
                    <wps:spPr>
                      <a:xfrm flipH="1">
                        <a:off x="0" y="0"/>
                        <a:ext cx="7115175" cy="300250"/>
                      </a:xfrm>
                      <a:prstGeom prst="homePlate">
                        <a:avLst/>
                      </a:prstGeom>
                      <a:solidFill>
                        <a:srgbClr val="004386"/>
                      </a:solid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61B6ABE3" w14:textId="19506172" w:rsidR="004E1A55" w:rsidRPr="00390D77" w:rsidRDefault="002548AA" w:rsidP="002548AA">
                          <w:pPr>
                            <w:rPr>
                              <w:rFonts w:ascii="Georgia" w:hAnsi="Georgia"/>
                            </w:rPr>
                          </w:pPr>
                          <w:r>
                            <w:rPr>
                              <w:rFonts w:asciiTheme="majorHAnsi" w:hAnsiTheme="majorHAnsi"/>
                              <w:b/>
                              <w:color w:val="FFFFFF" w:themeColor="background1"/>
                            </w:rPr>
                            <w:t xml:space="preserve">            </w:t>
                          </w:r>
                          <w:r w:rsidR="004E1A55">
                            <w:rPr>
                              <w:rFonts w:asciiTheme="majorHAnsi" w:hAnsiTheme="majorHAnsi"/>
                              <w:b/>
                              <w:color w:val="FFFFFF" w:themeColor="background1"/>
                            </w:rPr>
                            <w:t xml:space="preserve">    D</w:t>
                          </w:r>
                          <w:r w:rsidR="004E1A55" w:rsidRPr="00390D77">
                            <w:rPr>
                              <w:rFonts w:ascii="Georgia" w:hAnsi="Georgia"/>
                              <w:b/>
                              <w:color w:val="FFFFFF" w:themeColor="background1"/>
                            </w:rPr>
                            <w:t xml:space="preserve">ESE Policy Brief: </w:t>
                          </w:r>
                          <w:r w:rsidR="00224B13">
                            <w:rPr>
                              <w:rFonts w:ascii="Georgia" w:hAnsi="Georgia"/>
                              <w:b/>
                              <w:color w:val="FFFFFF" w:themeColor="background1"/>
                            </w:rPr>
                            <w:t xml:space="preserve">  A First Look at School</w:t>
                          </w:r>
                          <w:r w:rsidR="00301135">
                            <w:rPr>
                              <w:rFonts w:ascii="Georgia" w:hAnsi="Georgia"/>
                              <w:b/>
                              <w:color w:val="FFFFFF" w:themeColor="background1"/>
                            </w:rPr>
                            <w:t>-</w:t>
                          </w:r>
                          <w:r w:rsidR="00224B13">
                            <w:rPr>
                              <w:rFonts w:ascii="Georgia" w:hAnsi="Georgia"/>
                              <w:b/>
                              <w:color w:val="FFFFFF" w:themeColor="background1"/>
                            </w:rPr>
                            <w:t>Level Expenditures</w:t>
                          </w:r>
                          <w:r w:rsidR="004E1A55" w:rsidRPr="00390D77">
                            <w:rPr>
                              <w:rFonts w:ascii="Georgia" w:hAnsi="Georgia"/>
                              <w:b/>
                              <w:color w:val="FFFFFF" w:themeColor="background1"/>
                            </w:rPr>
                            <w:t xml:space="preserve">    </w:t>
                          </w:r>
                          <w:r w:rsidR="004E1A55" w:rsidRPr="00390D77">
                            <w:rPr>
                              <w:rFonts w:ascii="Georgia" w:hAnsi="Georgia"/>
                              <w:b/>
                              <w:color w:val="FFFFFF" w:themeColor="background1"/>
                            </w:rPr>
                            <w:fldChar w:fldCharType="begin"/>
                          </w:r>
                          <w:r w:rsidR="004E1A55" w:rsidRPr="00390D77">
                            <w:rPr>
                              <w:rFonts w:ascii="Georgia" w:hAnsi="Georgia"/>
                              <w:b/>
                              <w:color w:val="FFFFFF" w:themeColor="background1"/>
                            </w:rPr>
                            <w:instrText xml:space="preserve"> PAGE   \* MERGEFORMAT </w:instrText>
                          </w:r>
                          <w:r w:rsidR="004E1A55" w:rsidRPr="00390D77">
                            <w:rPr>
                              <w:rFonts w:ascii="Georgia" w:hAnsi="Georgia"/>
                              <w:b/>
                              <w:color w:val="FFFFFF" w:themeColor="background1"/>
                            </w:rPr>
                            <w:fldChar w:fldCharType="separate"/>
                          </w:r>
                          <w:r w:rsidR="00130503">
                            <w:rPr>
                              <w:rFonts w:ascii="Georgia" w:hAnsi="Georgia"/>
                              <w:b/>
                              <w:noProof/>
                              <w:color w:val="FFFFFF" w:themeColor="background1"/>
                            </w:rPr>
                            <w:t>2</w:t>
                          </w:r>
                          <w:r w:rsidR="004E1A55" w:rsidRPr="00390D77">
                            <w:rPr>
                              <w:rFonts w:ascii="Georgia" w:hAnsi="Georgia"/>
                              <w:b/>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03BB5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30" type="#_x0000_t15" style="position:absolute;margin-left:48pt;margin-top:8.2pt;width:560.25pt;height:23.65pt;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" adj="21144" fillcolor="#004386" stroked="f" strokeweight="1pt">
              <v:textbox>
                <w:txbxContent>
                  <w:p w14:paraId="61B6ABE3" w14:textId="19506172" w:rsidR="004E1A55" w:rsidRPr="00390D77" w:rsidRDefault="002548AA" w:rsidP="002548AA">
                    <w:pPr>
                      <w:rPr>
                        <w:rFonts w:ascii="Georgia" w:hAnsi="Georgia"/>
                      </w:rPr>
                    </w:pPr>
                    <w:r>
                      <w:rPr>
                        <w:rFonts w:asciiTheme="majorHAnsi" w:hAnsiTheme="majorHAnsi"/>
                        <w:b/>
                        <w:color w:val="FFFFFF" w:themeColor="background1"/>
                      </w:rPr>
                      <w:t xml:space="preserve">            </w:t>
                    </w:r>
                    <w:r w:rsidR="004E1A55">
                      <w:rPr>
                        <w:rFonts w:asciiTheme="majorHAnsi" w:hAnsiTheme="majorHAnsi"/>
                        <w:b/>
                        <w:color w:val="FFFFFF" w:themeColor="background1"/>
                      </w:rPr>
                      <w:t xml:space="preserve">    D</w:t>
                    </w:r>
                    <w:r w:rsidR="004E1A55" w:rsidRPr="00390D77">
                      <w:rPr>
                        <w:rFonts w:ascii="Georgia" w:hAnsi="Georgia"/>
                        <w:b/>
                        <w:color w:val="FFFFFF" w:themeColor="background1"/>
                      </w:rPr>
                      <w:t xml:space="preserve">ESE Policy Brief: </w:t>
                    </w:r>
                    <w:r w:rsidR="00224B13">
                      <w:rPr>
                        <w:rFonts w:ascii="Georgia" w:hAnsi="Georgia"/>
                        <w:b/>
                        <w:color w:val="FFFFFF" w:themeColor="background1"/>
                      </w:rPr>
                      <w:t xml:space="preserve">  A First Look at School</w:t>
                    </w:r>
                    <w:r w:rsidR="00301135">
                      <w:rPr>
                        <w:rFonts w:ascii="Georgia" w:hAnsi="Georgia"/>
                        <w:b/>
                        <w:color w:val="FFFFFF" w:themeColor="background1"/>
                      </w:rPr>
                      <w:t>-</w:t>
                    </w:r>
                    <w:r w:rsidR="00224B13">
                      <w:rPr>
                        <w:rFonts w:ascii="Georgia" w:hAnsi="Georgia"/>
                        <w:b/>
                        <w:color w:val="FFFFFF" w:themeColor="background1"/>
                      </w:rPr>
                      <w:t>Level Expenditures</w:t>
                    </w:r>
                    <w:r w:rsidR="004E1A55" w:rsidRPr="00390D77">
                      <w:rPr>
                        <w:rFonts w:ascii="Georgia" w:hAnsi="Georgia"/>
                        <w:b/>
                        <w:color w:val="FFFFFF" w:themeColor="background1"/>
                      </w:rPr>
                      <w:t xml:space="preserve">    </w:t>
                    </w:r>
                    <w:r w:rsidR="004E1A55" w:rsidRPr="00390D77">
                      <w:rPr>
                        <w:rFonts w:ascii="Georgia" w:hAnsi="Georgia"/>
                        <w:b/>
                        <w:color w:val="FFFFFF" w:themeColor="background1"/>
                      </w:rPr>
                      <w:fldChar w:fldCharType="begin"/>
                    </w:r>
                    <w:r w:rsidR="004E1A55" w:rsidRPr="00390D77">
                      <w:rPr>
                        <w:rFonts w:ascii="Georgia" w:hAnsi="Georgia"/>
                        <w:b/>
                        <w:color w:val="FFFFFF" w:themeColor="background1"/>
                      </w:rPr>
                      <w:instrText xml:space="preserve"> PAGE   \* MERGEFORMAT </w:instrText>
                    </w:r>
                    <w:r w:rsidR="004E1A55" w:rsidRPr="00390D77">
                      <w:rPr>
                        <w:rFonts w:ascii="Georgia" w:hAnsi="Georgia"/>
                        <w:b/>
                        <w:color w:val="FFFFFF" w:themeColor="background1"/>
                      </w:rPr>
                      <w:fldChar w:fldCharType="separate"/>
                    </w:r>
                    <w:r w:rsidR="00130503">
                      <w:rPr>
                        <w:rFonts w:ascii="Georgia" w:hAnsi="Georgia"/>
                        <w:b/>
                        <w:noProof/>
                        <w:color w:val="FFFFFF" w:themeColor="background1"/>
                      </w:rPr>
                      <w:t>2</w:t>
                    </w:r>
                    <w:r w:rsidR="004E1A55" w:rsidRPr="00390D77">
                      <w:rPr>
                        <w:rFonts w:ascii="Georgia" w:hAnsi="Georgia"/>
                        <w:b/>
                        <w:noProof/>
                        <w:color w:val="FFFFFF" w:themeColor="background1"/>
                      </w:rPr>
                      <w:fldChar w:fldCharType="end"/>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9A954" w14:textId="77777777" w:rsidR="004E14CB" w:rsidRDefault="004E14CB" w:rsidP="00376B64">
      <w:pPr>
        <w:spacing w:after="0" w:line="240" w:lineRule="auto"/>
      </w:pPr>
      <w:r>
        <w:separator/>
      </w:r>
    </w:p>
  </w:footnote>
  <w:footnote w:type="continuationSeparator" w:id="0">
    <w:p w14:paraId="75A96D1F" w14:textId="77777777" w:rsidR="004E14CB" w:rsidRDefault="004E14CB" w:rsidP="00376B64">
      <w:pPr>
        <w:spacing w:after="0" w:line="240" w:lineRule="auto"/>
      </w:pPr>
      <w:r>
        <w:continuationSeparator/>
      </w:r>
    </w:p>
  </w:footnote>
  <w:footnote w:id="1">
    <w:p w14:paraId="31EE4494" w14:textId="7ACF0526" w:rsidR="008F06DD" w:rsidRDefault="008F06DD" w:rsidP="002B54CD">
      <w:pPr>
        <w:pStyle w:val="FootnoteText"/>
        <w:rPr>
          <w:rFonts w:ascii="Calibri" w:eastAsiaTheme="minorEastAsia" w:hAnsi="Calibri"/>
          <w:szCs w:val="24"/>
        </w:rPr>
      </w:pPr>
      <w:r>
        <w:rPr>
          <w:rStyle w:val="FootnoteReference"/>
        </w:rPr>
        <w:t>1</w:t>
      </w:r>
      <w:r>
        <w:t xml:space="preserve"> Economically disadvantaged students come from families who </w:t>
      </w:r>
      <w:r w:rsidRPr="00FA1ED7">
        <w:rPr>
          <w:rFonts w:ascii="Calibri" w:eastAsiaTheme="minorEastAsia" w:hAnsi="Calibri"/>
          <w:szCs w:val="24"/>
        </w:rPr>
        <w:t>participate in a social safety net program</w:t>
      </w:r>
      <w:r>
        <w:rPr>
          <w:rFonts w:ascii="Calibri" w:eastAsiaTheme="minorEastAsia" w:hAnsi="Calibri"/>
          <w:szCs w:val="24"/>
        </w:rPr>
        <w:t>,</w:t>
      </w:r>
      <w:r w:rsidRPr="00FA1ED7">
        <w:rPr>
          <w:rFonts w:ascii="Calibri" w:eastAsiaTheme="minorEastAsia" w:hAnsi="Calibri"/>
          <w:szCs w:val="24"/>
        </w:rPr>
        <w:t xml:space="preserve"> such as </w:t>
      </w:r>
      <w:r>
        <w:rPr>
          <w:rFonts w:ascii="Calibri" w:eastAsiaTheme="minorEastAsia" w:hAnsi="Calibri"/>
          <w:szCs w:val="24"/>
        </w:rPr>
        <w:t>the Supplemental Nutrition Assistance Program</w:t>
      </w:r>
      <w:r w:rsidRPr="00FA1ED7">
        <w:rPr>
          <w:rFonts w:ascii="Calibri" w:eastAsiaTheme="minorEastAsia" w:hAnsi="Calibri"/>
          <w:szCs w:val="24"/>
        </w:rPr>
        <w:t xml:space="preserve"> or </w:t>
      </w:r>
      <w:r>
        <w:rPr>
          <w:rFonts w:ascii="Calibri" w:eastAsiaTheme="minorEastAsia" w:hAnsi="Calibri"/>
          <w:szCs w:val="24"/>
        </w:rPr>
        <w:t>Temporary Assistance for Needy Families</w:t>
      </w:r>
      <w:r w:rsidRPr="00FA1ED7">
        <w:rPr>
          <w:rFonts w:ascii="Calibri" w:eastAsiaTheme="minorEastAsia" w:hAnsi="Calibri"/>
          <w:szCs w:val="24"/>
        </w:rPr>
        <w:t>, or are categorically eligible based on</w:t>
      </w:r>
      <w:r>
        <w:rPr>
          <w:rFonts w:ascii="Calibri" w:eastAsiaTheme="minorEastAsia" w:hAnsi="Calibri"/>
          <w:szCs w:val="24"/>
        </w:rPr>
        <w:t xml:space="preserve"> a special status, such as being</w:t>
      </w:r>
      <w:r w:rsidRPr="009001CE">
        <w:rPr>
          <w:rFonts w:ascii="Calibri" w:eastAsiaTheme="minorEastAsia" w:hAnsi="Calibri"/>
          <w:szCs w:val="24"/>
        </w:rPr>
        <w:t xml:space="preserve"> in foster care</w:t>
      </w:r>
      <w:r>
        <w:rPr>
          <w:rFonts w:ascii="Calibri" w:eastAsiaTheme="minorEastAsia" w:hAnsi="Calibri"/>
          <w:szCs w:val="24"/>
        </w:rPr>
        <w:t>.</w:t>
      </w:r>
    </w:p>
    <w:p w14:paraId="3546C550" w14:textId="39899BE7" w:rsidR="002B54CD" w:rsidRDefault="002B54CD" w:rsidP="002B54CD">
      <w:pPr>
        <w:pStyle w:val="FootnoteText"/>
      </w:pPr>
      <w:r w:rsidRPr="00F7149A">
        <w:rPr>
          <w:rStyle w:val="FootnoteReference"/>
          <w:color w:val="FFFFFF" w:themeColor="background1"/>
          <w:sz w:val="2"/>
        </w:rPr>
        <w:footnoteRef/>
      </w:r>
      <w:r w:rsidRPr="00F7149A">
        <w:rPr>
          <w:color w:val="FFFFFF" w:themeColor="background1"/>
          <w:sz w:val="2"/>
        </w:rPr>
        <w:t xml:space="preserve"> </w:t>
      </w:r>
    </w:p>
  </w:footnote>
  <w:footnote w:id="2">
    <w:p w14:paraId="47F43279" w14:textId="41DBA8D1" w:rsidR="00F7149A" w:rsidRDefault="00F7149A" w:rsidP="00F7149A">
      <w:pPr>
        <w:pStyle w:val="FootnoteText"/>
      </w:pPr>
      <w:r>
        <w:rPr>
          <w:vertAlign w:val="superscript"/>
        </w:rPr>
        <w:t xml:space="preserve">2 </w:t>
      </w:r>
      <w:r>
        <w:t xml:space="preserve">Massachusetts Department of Elementary and Secondary Education, </w:t>
      </w:r>
      <w:r w:rsidRPr="007736EA">
        <w:t>FY14</w:t>
      </w:r>
      <w:r>
        <w:t>–</w:t>
      </w:r>
      <w:r w:rsidRPr="007736EA">
        <w:t>FY18 Per</w:t>
      </w:r>
      <w:r>
        <w:t xml:space="preserve"> </w:t>
      </w:r>
      <w:r w:rsidRPr="007736EA">
        <w:t>Pupil Expenditures, All Funds</w:t>
      </w:r>
      <w:r>
        <w:t xml:space="preserve">, accessed at </w:t>
      </w:r>
      <w:hyperlink r:id="rId1" w:history="1">
        <w:r w:rsidRPr="00242ADA">
          <w:rPr>
            <w:rStyle w:val="Hyperlink"/>
          </w:rPr>
          <w:t>http://www.doe.mass.edu/finance/statistics/ppx14-18.html</w:t>
        </w:r>
      </w:hyperlink>
      <w:r>
        <w:t>.</w:t>
      </w:r>
    </w:p>
    <w:p w14:paraId="55DF4866" w14:textId="273CAF43" w:rsidR="00F7149A" w:rsidRDefault="00F7149A" w:rsidP="00F7149A">
      <w:pPr>
        <w:pStyle w:val="FootnoteText"/>
      </w:pPr>
      <w:r>
        <w:rPr>
          <w:rStyle w:val="FootnoteReference"/>
        </w:rPr>
        <w:t>3</w:t>
      </w:r>
      <w:r>
        <w:t xml:space="preserve"> We use “pupils” to refer to </w:t>
      </w:r>
      <w:r w:rsidRPr="00E553C0">
        <w:t xml:space="preserve">the full-time equivalent (FTE) </w:t>
      </w:r>
      <w:r>
        <w:t xml:space="preserve">student </w:t>
      </w:r>
      <w:r w:rsidRPr="00E553C0">
        <w:t>count</w:t>
      </w:r>
      <w:r>
        <w:t>. This count is</w:t>
      </w:r>
      <w:r w:rsidRPr="00E553C0">
        <w:t xml:space="preserve"> based on </w:t>
      </w:r>
      <w:r>
        <w:t xml:space="preserve">the </w:t>
      </w:r>
      <w:r w:rsidRPr="00E553C0">
        <w:t xml:space="preserve">actual days </w:t>
      </w:r>
      <w:r>
        <w:t xml:space="preserve">that </w:t>
      </w:r>
      <w:r w:rsidRPr="00E553C0">
        <w:t>students sp</w:t>
      </w:r>
      <w:r>
        <w:t>ent in the school over the year and is the same unit used to report school-level spending.</w:t>
      </w:r>
    </w:p>
    <w:p w14:paraId="6C5858C2" w14:textId="13A902DB" w:rsidR="002B54CD" w:rsidRDefault="002B54CD" w:rsidP="00F7149A">
      <w:pPr>
        <w:pStyle w:val="FootnoteText"/>
      </w:pPr>
      <w:r>
        <w:rPr>
          <w:rStyle w:val="FootnoteReference"/>
        </w:rPr>
        <w:footnoteRef/>
      </w:r>
      <w:r>
        <w:t xml:space="preserve"> Massachusetts Department of Elementary and Secondary Education, </w:t>
      </w:r>
      <w:r w:rsidRPr="007736EA">
        <w:t>FY14</w:t>
      </w:r>
      <w:r>
        <w:t>–</w:t>
      </w:r>
      <w:r w:rsidRPr="007736EA">
        <w:t>FY18 Per</w:t>
      </w:r>
      <w:r>
        <w:t xml:space="preserve"> </w:t>
      </w:r>
      <w:r w:rsidRPr="007736EA">
        <w:t>Pupil Expenditures, All Funds</w:t>
      </w:r>
      <w:r>
        <w:t xml:space="preserve">, accessed at </w:t>
      </w:r>
      <w:hyperlink r:id="rId2" w:history="1">
        <w:r w:rsidRPr="00242ADA">
          <w:rPr>
            <w:rStyle w:val="Hyperlink"/>
          </w:rPr>
          <w:t>http://www.doe.mass.edu/finance/statistics/ppx14-18.html</w:t>
        </w:r>
      </w:hyperlink>
      <w:r>
        <w:t>.</w:t>
      </w:r>
    </w:p>
  </w:footnote>
  <w:footnote w:id="3">
    <w:p w14:paraId="60222168" w14:textId="77777777" w:rsidR="004C48DB" w:rsidRDefault="004C48DB" w:rsidP="004C48DB">
      <w:pPr>
        <w:pStyle w:val="FootnoteText"/>
      </w:pPr>
      <w:r>
        <w:rPr>
          <w:rStyle w:val="FootnoteReference"/>
        </w:rPr>
        <w:footnoteRef/>
      </w:r>
      <w:r>
        <w:t xml:space="preserve"> In fiscal year 2018, Massachusetts allocated $4.7 billion in Chapter 70 aid to K–12 public school districts, representing 30 percent of the $16.2 billion spent by districts that year from all local, state, and federal funding sources. See </w:t>
      </w:r>
      <w:hyperlink r:id="rId3" w:history="1">
        <w:r w:rsidRPr="002B0048">
          <w:rPr>
            <w:rStyle w:val="Hyperlink"/>
          </w:rPr>
          <w:t>http://www.doe.mass.edu/finance/statistics/ppx14-18.html</w:t>
        </w:r>
      </w:hyperlink>
      <w:r>
        <w:t xml:space="preserve"> and </w:t>
      </w:r>
      <w:hyperlink r:id="rId4" w:history="1">
        <w:r w:rsidRPr="00242ADA">
          <w:rPr>
            <w:rStyle w:val="Hyperlink"/>
          </w:rPr>
          <w:t>http://www.doe.mass.edu/finance/chapter70/fy2018/chapter-18.html</w:t>
        </w:r>
      </w:hyperlink>
      <w:r>
        <w:t>.</w:t>
      </w:r>
    </w:p>
  </w:footnote>
  <w:footnote w:id="4">
    <w:p w14:paraId="52B80031" w14:textId="795507E0" w:rsidR="00F82049" w:rsidRDefault="00621E7E" w:rsidP="00F82049">
      <w:pPr>
        <w:pStyle w:val="FootnoteText"/>
      </w:pPr>
      <w:r>
        <w:rPr>
          <w:rStyle w:val="FootnoteReference"/>
        </w:rPr>
        <w:footnoteRef/>
      </w:r>
      <w:r w:rsidR="00F82049">
        <w:t xml:space="preserve"> Massachusetts Department of Elementary and Secondary Education, </w:t>
      </w:r>
      <w:r w:rsidR="00F82049" w:rsidRPr="00BA200A">
        <w:t>FY19 Chapter 70 Aid and Required Contribution Calculations</w:t>
      </w:r>
      <w:r w:rsidR="00F82049">
        <w:t xml:space="preserve">, accessed at </w:t>
      </w:r>
      <w:hyperlink r:id="rId5" w:history="1">
        <w:r w:rsidR="00F82049" w:rsidRPr="00242ADA">
          <w:rPr>
            <w:rStyle w:val="Hyperlink"/>
          </w:rPr>
          <w:t>http://www.doe.mass.edu/finance/chapter70/fy2019/whitepaper.html</w:t>
        </w:r>
      </w:hyperlink>
      <w:r w:rsidR="00F82049">
        <w:t xml:space="preserve">. </w:t>
      </w:r>
    </w:p>
  </w:footnote>
  <w:footnote w:id="5">
    <w:p w14:paraId="7609B62B" w14:textId="52A195E1" w:rsidR="006919FE" w:rsidRDefault="006919FE" w:rsidP="006919FE">
      <w:pPr>
        <w:pStyle w:val="FootnoteText"/>
      </w:pPr>
      <w:r>
        <w:rPr>
          <w:rStyle w:val="FootnoteReference"/>
        </w:rPr>
        <w:footnoteRef/>
      </w:r>
      <w:r>
        <w:t xml:space="preserve"> For analyses in this report, we use the 2018–19 unadjusted wage adjustment factor, which includes non</w:t>
      </w:r>
      <w:r w:rsidR="00173949">
        <w:t>-</w:t>
      </w:r>
      <w:r>
        <w:t xml:space="preserve">rounded values. The Chapter 70 formula uses an adjusted wage adjustment factor, which cushions low-wage areas from a reduction in spending by </w:t>
      </w:r>
      <w:r w:rsidR="00302578">
        <w:t>setting a floor for wage adjustment factors at</w:t>
      </w:r>
      <w:r>
        <w:t xml:space="preserve"> 100 percent</w:t>
      </w:r>
      <w:r w:rsidR="00220675">
        <w:t>. This floor has been in place since fiscal year 2004</w:t>
      </w:r>
      <w:r>
        <w:t xml:space="preserve"> (Massachusetts Department of Elementary and Secondary Education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A4F34"/>
    <w:multiLevelType w:val="hybridMultilevel"/>
    <w:tmpl w:val="690C6E3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541996"/>
    <w:multiLevelType w:val="hybridMultilevel"/>
    <w:tmpl w:val="13E82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20E20"/>
    <w:multiLevelType w:val="hybridMultilevel"/>
    <w:tmpl w:val="0FCC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5220E"/>
    <w:multiLevelType w:val="hybridMultilevel"/>
    <w:tmpl w:val="BFACC682"/>
    <w:lvl w:ilvl="0" w:tplc="08645C90">
      <w:start w:val="1"/>
      <w:numFmt w:val="bullet"/>
      <w:lvlText w:val=""/>
      <w:lvlJc w:val="left"/>
      <w:pPr>
        <w:ind w:left="720" w:hanging="360"/>
      </w:pPr>
      <w:rPr>
        <w:rFonts w:ascii="Wingdings" w:hAnsi="Wingdings" w:hint="default"/>
        <w:b/>
        <w:color w:val="4472C4" w:themeColor="accen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B153B"/>
    <w:multiLevelType w:val="hybridMultilevel"/>
    <w:tmpl w:val="13E82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951DFB"/>
    <w:multiLevelType w:val="hybridMultilevel"/>
    <w:tmpl w:val="CC78AE1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 w15:restartNumberingAfterBreak="0">
    <w:nsid w:val="17E312B8"/>
    <w:multiLevelType w:val="hybridMultilevel"/>
    <w:tmpl w:val="82B02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950F14"/>
    <w:multiLevelType w:val="hybridMultilevel"/>
    <w:tmpl w:val="6914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C5953"/>
    <w:multiLevelType w:val="hybridMultilevel"/>
    <w:tmpl w:val="15026AB4"/>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0" w15:restartNumberingAfterBreak="0">
    <w:nsid w:val="1E195EEB"/>
    <w:multiLevelType w:val="hybridMultilevel"/>
    <w:tmpl w:val="A27CE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C7DB2"/>
    <w:multiLevelType w:val="hybridMultilevel"/>
    <w:tmpl w:val="4CC23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952C08"/>
    <w:multiLevelType w:val="hybridMultilevel"/>
    <w:tmpl w:val="ED2A112E"/>
    <w:lvl w:ilvl="0" w:tplc="F8F225E4">
      <w:start w:val="1"/>
      <w:numFmt w:val="bullet"/>
      <w:lvlText w:val=""/>
      <w:lvlJc w:val="left"/>
      <w:pPr>
        <w:ind w:left="720" w:hanging="360"/>
      </w:pPr>
      <w:rPr>
        <w:rFonts w:ascii="Wingdings" w:hAnsi="Wingdings" w:hint="default"/>
        <w:b/>
        <w:color w:val="E28521"/>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37A9B"/>
    <w:multiLevelType w:val="hybridMultilevel"/>
    <w:tmpl w:val="A98E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8406A7"/>
    <w:multiLevelType w:val="hybridMultilevel"/>
    <w:tmpl w:val="FF72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86397"/>
    <w:multiLevelType w:val="hybridMultilevel"/>
    <w:tmpl w:val="ED962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CB414A"/>
    <w:multiLevelType w:val="hybridMultilevel"/>
    <w:tmpl w:val="8B189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706FF9"/>
    <w:multiLevelType w:val="hybridMultilevel"/>
    <w:tmpl w:val="266EB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B853F5"/>
    <w:multiLevelType w:val="hybridMultilevel"/>
    <w:tmpl w:val="317CAFB6"/>
    <w:lvl w:ilvl="0" w:tplc="F8F225E4">
      <w:start w:val="1"/>
      <w:numFmt w:val="bullet"/>
      <w:lvlText w:val=""/>
      <w:lvlJc w:val="left"/>
      <w:pPr>
        <w:ind w:left="720" w:hanging="360"/>
      </w:pPr>
      <w:rPr>
        <w:rFonts w:ascii="Wingdings" w:hAnsi="Wingdings" w:hint="default"/>
        <w:b/>
        <w:color w:val="E28521"/>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FB773B"/>
    <w:multiLevelType w:val="hybridMultilevel"/>
    <w:tmpl w:val="CB76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545E68"/>
    <w:multiLevelType w:val="hybridMultilevel"/>
    <w:tmpl w:val="3692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4407FE"/>
    <w:multiLevelType w:val="multilevel"/>
    <w:tmpl w:val="B510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5C00BF"/>
    <w:multiLevelType w:val="hybridMultilevel"/>
    <w:tmpl w:val="8514D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F72F88"/>
    <w:multiLevelType w:val="hybridMultilevel"/>
    <w:tmpl w:val="F62828CA"/>
    <w:lvl w:ilvl="0" w:tplc="C65A0930">
      <w:numFmt w:val="bullet"/>
      <w:lvlText w:val=""/>
      <w:lvlJc w:val="left"/>
      <w:pPr>
        <w:ind w:left="720" w:hanging="360"/>
      </w:pPr>
      <w:rPr>
        <w:rFonts w:ascii="Symbol" w:eastAsia="Times New Roman" w:hAnsi="Symbol" w:cs="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8737A7F"/>
    <w:multiLevelType w:val="hybridMultilevel"/>
    <w:tmpl w:val="7A26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F03A81"/>
    <w:multiLevelType w:val="hybridMultilevel"/>
    <w:tmpl w:val="9C504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570DD4"/>
    <w:multiLevelType w:val="hybridMultilevel"/>
    <w:tmpl w:val="77DC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9F1908"/>
    <w:multiLevelType w:val="hybridMultilevel"/>
    <w:tmpl w:val="4EACA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8C669B"/>
    <w:multiLevelType w:val="hybridMultilevel"/>
    <w:tmpl w:val="154A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3F0D3A"/>
    <w:multiLevelType w:val="hybridMultilevel"/>
    <w:tmpl w:val="415CB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A54900"/>
    <w:multiLevelType w:val="hybridMultilevel"/>
    <w:tmpl w:val="BAA83FB2"/>
    <w:lvl w:ilvl="0" w:tplc="22C0ABE8">
      <w:start w:val="1"/>
      <w:numFmt w:val="bullet"/>
      <w:lvlText w:val=""/>
      <w:lvlJc w:val="left"/>
      <w:pPr>
        <w:ind w:left="720" w:hanging="360"/>
      </w:pPr>
      <w:rPr>
        <w:rFonts w:ascii="Wingdings" w:hAnsi="Wingdings" w:hint="default"/>
        <w:b/>
        <w:color w:val="4472C4" w:themeColor="accen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644854"/>
    <w:multiLevelType w:val="hybridMultilevel"/>
    <w:tmpl w:val="F66E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580EB6"/>
    <w:multiLevelType w:val="hybridMultilevel"/>
    <w:tmpl w:val="A8A8B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B51A47"/>
    <w:multiLevelType w:val="hybridMultilevel"/>
    <w:tmpl w:val="795E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D26B41"/>
    <w:multiLevelType w:val="hybridMultilevel"/>
    <w:tmpl w:val="8230F7A2"/>
    <w:lvl w:ilvl="0" w:tplc="C7EEB428">
      <w:start w:val="1"/>
      <w:numFmt w:val="bullet"/>
      <w:lvlText w:val=""/>
      <w:lvlJc w:val="left"/>
      <w:pPr>
        <w:ind w:left="720" w:hanging="360"/>
      </w:pPr>
      <w:rPr>
        <w:rFonts w:ascii="Wingdings" w:hAnsi="Wingdings" w:hint="default"/>
        <w:b/>
        <w:color w:val="4472C4" w:themeColor="accen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CE4330"/>
    <w:multiLevelType w:val="hybridMultilevel"/>
    <w:tmpl w:val="B8345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400148"/>
    <w:multiLevelType w:val="hybridMultilevel"/>
    <w:tmpl w:val="13E82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A6A51"/>
    <w:multiLevelType w:val="hybridMultilevel"/>
    <w:tmpl w:val="AC5481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B527FC"/>
    <w:multiLevelType w:val="hybridMultilevel"/>
    <w:tmpl w:val="AAF61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EC49D7"/>
    <w:multiLevelType w:val="hybridMultilevel"/>
    <w:tmpl w:val="F94A1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0"/>
  </w:num>
  <w:num w:numId="3">
    <w:abstractNumId w:val="16"/>
  </w:num>
  <w:num w:numId="4">
    <w:abstractNumId w:val="35"/>
  </w:num>
  <w:num w:numId="5">
    <w:abstractNumId w:val="11"/>
  </w:num>
  <w:num w:numId="6">
    <w:abstractNumId w:val="17"/>
  </w:num>
  <w:num w:numId="7">
    <w:abstractNumId w:val="39"/>
  </w:num>
  <w:num w:numId="8">
    <w:abstractNumId w:val="38"/>
  </w:num>
  <w:num w:numId="9">
    <w:abstractNumId w:val="32"/>
  </w:num>
  <w:num w:numId="10">
    <w:abstractNumId w:val="9"/>
  </w:num>
  <w:num w:numId="11">
    <w:abstractNumId w:val="27"/>
  </w:num>
  <w:num w:numId="12">
    <w:abstractNumId w:val="22"/>
  </w:num>
  <w:num w:numId="13">
    <w:abstractNumId w:val="37"/>
  </w:num>
  <w:num w:numId="14">
    <w:abstractNumId w:val="4"/>
  </w:num>
  <w:num w:numId="15">
    <w:abstractNumId w:val="23"/>
  </w:num>
  <w:num w:numId="16">
    <w:abstractNumId w:val="3"/>
  </w:num>
  <w:num w:numId="17">
    <w:abstractNumId w:val="13"/>
  </w:num>
  <w:num w:numId="18">
    <w:abstractNumId w:val="2"/>
  </w:num>
  <w:num w:numId="19">
    <w:abstractNumId w:val="26"/>
  </w:num>
  <w:num w:numId="20">
    <w:abstractNumId w:val="8"/>
  </w:num>
  <w:num w:numId="21">
    <w:abstractNumId w:val="28"/>
  </w:num>
  <w:num w:numId="22">
    <w:abstractNumId w:val="36"/>
  </w:num>
  <w:num w:numId="23">
    <w:abstractNumId w:val="5"/>
  </w:num>
  <w:num w:numId="24">
    <w:abstractNumId w:val="25"/>
  </w:num>
  <w:num w:numId="25">
    <w:abstractNumId w:val="24"/>
  </w:num>
  <w:num w:numId="26">
    <w:abstractNumId w:val="29"/>
  </w:num>
  <w:num w:numId="27">
    <w:abstractNumId w:val="20"/>
  </w:num>
  <w:num w:numId="28">
    <w:abstractNumId w:val="14"/>
  </w:num>
  <w:num w:numId="29">
    <w:abstractNumId w:val="6"/>
  </w:num>
  <w:num w:numId="30">
    <w:abstractNumId w:val="33"/>
  </w:num>
  <w:num w:numId="31">
    <w:abstractNumId w:val="31"/>
  </w:num>
  <w:num w:numId="32">
    <w:abstractNumId w:val="19"/>
  </w:num>
  <w:num w:numId="33">
    <w:abstractNumId w:val="0"/>
  </w:num>
  <w:num w:numId="34">
    <w:abstractNumId w:val="15"/>
  </w:num>
  <w:num w:numId="35">
    <w:abstractNumId w:val="1"/>
  </w:num>
  <w:num w:numId="36">
    <w:abstractNumId w:val="7"/>
  </w:num>
  <w:num w:numId="37">
    <w:abstractNumId w:val="18"/>
  </w:num>
  <w:num w:numId="38">
    <w:abstractNumId w:val="12"/>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6CA"/>
    <w:rsid w:val="000021C4"/>
    <w:rsid w:val="00003086"/>
    <w:rsid w:val="00004911"/>
    <w:rsid w:val="00006D21"/>
    <w:rsid w:val="0000733F"/>
    <w:rsid w:val="0001684E"/>
    <w:rsid w:val="00022FC3"/>
    <w:rsid w:val="000261EF"/>
    <w:rsid w:val="0002756A"/>
    <w:rsid w:val="00027B68"/>
    <w:rsid w:val="00031849"/>
    <w:rsid w:val="000318D8"/>
    <w:rsid w:val="00031AD7"/>
    <w:rsid w:val="000327AC"/>
    <w:rsid w:val="00035ED9"/>
    <w:rsid w:val="000365EC"/>
    <w:rsid w:val="00037FE5"/>
    <w:rsid w:val="0004001B"/>
    <w:rsid w:val="00040B4A"/>
    <w:rsid w:val="000419A0"/>
    <w:rsid w:val="000520AF"/>
    <w:rsid w:val="0005341D"/>
    <w:rsid w:val="000562D3"/>
    <w:rsid w:val="00061AE3"/>
    <w:rsid w:val="00070E52"/>
    <w:rsid w:val="0007297B"/>
    <w:rsid w:val="00072AC4"/>
    <w:rsid w:val="000740F3"/>
    <w:rsid w:val="00074FE9"/>
    <w:rsid w:val="000761A6"/>
    <w:rsid w:val="00076221"/>
    <w:rsid w:val="00077FF4"/>
    <w:rsid w:val="00080A3D"/>
    <w:rsid w:val="0008258F"/>
    <w:rsid w:val="00090278"/>
    <w:rsid w:val="00097C2E"/>
    <w:rsid w:val="000A4203"/>
    <w:rsid w:val="000A4C9E"/>
    <w:rsid w:val="000A767E"/>
    <w:rsid w:val="000B00F2"/>
    <w:rsid w:val="000B7019"/>
    <w:rsid w:val="000C3FC4"/>
    <w:rsid w:val="000C6015"/>
    <w:rsid w:val="000D546A"/>
    <w:rsid w:val="000E150F"/>
    <w:rsid w:val="000E6F19"/>
    <w:rsid w:val="000F2FA1"/>
    <w:rsid w:val="000F598F"/>
    <w:rsid w:val="000F6C03"/>
    <w:rsid w:val="00104E3E"/>
    <w:rsid w:val="0011000C"/>
    <w:rsid w:val="00110BF4"/>
    <w:rsid w:val="00110F67"/>
    <w:rsid w:val="001115BD"/>
    <w:rsid w:val="00111681"/>
    <w:rsid w:val="00114EAF"/>
    <w:rsid w:val="00116864"/>
    <w:rsid w:val="001214A2"/>
    <w:rsid w:val="00121781"/>
    <w:rsid w:val="00127292"/>
    <w:rsid w:val="00130185"/>
    <w:rsid w:val="00130503"/>
    <w:rsid w:val="0014126D"/>
    <w:rsid w:val="00143E53"/>
    <w:rsid w:val="0014558F"/>
    <w:rsid w:val="00146B0F"/>
    <w:rsid w:val="001479B8"/>
    <w:rsid w:val="00150D96"/>
    <w:rsid w:val="0016125E"/>
    <w:rsid w:val="00161288"/>
    <w:rsid w:val="00166C1F"/>
    <w:rsid w:val="00167DD5"/>
    <w:rsid w:val="001704BF"/>
    <w:rsid w:val="00172C70"/>
    <w:rsid w:val="00173949"/>
    <w:rsid w:val="00175618"/>
    <w:rsid w:val="001814E5"/>
    <w:rsid w:val="001832EF"/>
    <w:rsid w:val="00183692"/>
    <w:rsid w:val="00192CEA"/>
    <w:rsid w:val="001A4419"/>
    <w:rsid w:val="001A4BBB"/>
    <w:rsid w:val="001B1CD4"/>
    <w:rsid w:val="001B55A2"/>
    <w:rsid w:val="001C4046"/>
    <w:rsid w:val="001C76CD"/>
    <w:rsid w:val="001D3755"/>
    <w:rsid w:val="001E42DF"/>
    <w:rsid w:val="001E4583"/>
    <w:rsid w:val="001E469D"/>
    <w:rsid w:val="001F6CF5"/>
    <w:rsid w:val="001F766C"/>
    <w:rsid w:val="001F7814"/>
    <w:rsid w:val="001F7BF8"/>
    <w:rsid w:val="002172C7"/>
    <w:rsid w:val="00220675"/>
    <w:rsid w:val="00221278"/>
    <w:rsid w:val="00224B13"/>
    <w:rsid w:val="002266C5"/>
    <w:rsid w:val="0022790B"/>
    <w:rsid w:val="00237619"/>
    <w:rsid w:val="002418A3"/>
    <w:rsid w:val="00253C74"/>
    <w:rsid w:val="002548AA"/>
    <w:rsid w:val="00270DAC"/>
    <w:rsid w:val="002716D4"/>
    <w:rsid w:val="0027550C"/>
    <w:rsid w:val="00291655"/>
    <w:rsid w:val="0029721A"/>
    <w:rsid w:val="002A0ED6"/>
    <w:rsid w:val="002A5C95"/>
    <w:rsid w:val="002A78B0"/>
    <w:rsid w:val="002B4BC4"/>
    <w:rsid w:val="002B54CD"/>
    <w:rsid w:val="002B63F7"/>
    <w:rsid w:val="002C1DB8"/>
    <w:rsid w:val="002C28E9"/>
    <w:rsid w:val="002C5BA3"/>
    <w:rsid w:val="002C6C05"/>
    <w:rsid w:val="002D33CC"/>
    <w:rsid w:val="002E0270"/>
    <w:rsid w:val="002E3139"/>
    <w:rsid w:val="002E41D4"/>
    <w:rsid w:val="002E6BEE"/>
    <w:rsid w:val="002E7CE5"/>
    <w:rsid w:val="002F530B"/>
    <w:rsid w:val="002F6F3D"/>
    <w:rsid w:val="00300F4D"/>
    <w:rsid w:val="00301135"/>
    <w:rsid w:val="00302578"/>
    <w:rsid w:val="00312E64"/>
    <w:rsid w:val="00313857"/>
    <w:rsid w:val="0031413E"/>
    <w:rsid w:val="00315A95"/>
    <w:rsid w:val="003219F5"/>
    <w:rsid w:val="00321CA5"/>
    <w:rsid w:val="00343DD1"/>
    <w:rsid w:val="00354561"/>
    <w:rsid w:val="00360270"/>
    <w:rsid w:val="0036076D"/>
    <w:rsid w:val="00373E7B"/>
    <w:rsid w:val="00375055"/>
    <w:rsid w:val="00376B64"/>
    <w:rsid w:val="00382C4A"/>
    <w:rsid w:val="003834C3"/>
    <w:rsid w:val="00390D77"/>
    <w:rsid w:val="00394680"/>
    <w:rsid w:val="00394841"/>
    <w:rsid w:val="003A4B83"/>
    <w:rsid w:val="003A4C40"/>
    <w:rsid w:val="003A779E"/>
    <w:rsid w:val="003A7E07"/>
    <w:rsid w:val="003B08F2"/>
    <w:rsid w:val="003B1601"/>
    <w:rsid w:val="003B43B2"/>
    <w:rsid w:val="003B7451"/>
    <w:rsid w:val="003C15BB"/>
    <w:rsid w:val="003C4F27"/>
    <w:rsid w:val="003D37E3"/>
    <w:rsid w:val="003D3FBC"/>
    <w:rsid w:val="003D704D"/>
    <w:rsid w:val="003E6FD4"/>
    <w:rsid w:val="003F03E2"/>
    <w:rsid w:val="003F41B2"/>
    <w:rsid w:val="003F4A05"/>
    <w:rsid w:val="003F56EC"/>
    <w:rsid w:val="003F5C2A"/>
    <w:rsid w:val="004023E9"/>
    <w:rsid w:val="004073FE"/>
    <w:rsid w:val="0042501C"/>
    <w:rsid w:val="004256A0"/>
    <w:rsid w:val="00426C9D"/>
    <w:rsid w:val="00427D0C"/>
    <w:rsid w:val="004309AE"/>
    <w:rsid w:val="00434CFB"/>
    <w:rsid w:val="00436846"/>
    <w:rsid w:val="00436CE8"/>
    <w:rsid w:val="00441C3A"/>
    <w:rsid w:val="00452D11"/>
    <w:rsid w:val="00454D14"/>
    <w:rsid w:val="0045567A"/>
    <w:rsid w:val="00456A27"/>
    <w:rsid w:val="00463017"/>
    <w:rsid w:val="004637CE"/>
    <w:rsid w:val="00464237"/>
    <w:rsid w:val="004669E2"/>
    <w:rsid w:val="004671EE"/>
    <w:rsid w:val="00472213"/>
    <w:rsid w:val="00483AE4"/>
    <w:rsid w:val="00485957"/>
    <w:rsid w:val="004878D0"/>
    <w:rsid w:val="00495A0A"/>
    <w:rsid w:val="004A2D73"/>
    <w:rsid w:val="004A6682"/>
    <w:rsid w:val="004B0415"/>
    <w:rsid w:val="004B2886"/>
    <w:rsid w:val="004B3628"/>
    <w:rsid w:val="004B4476"/>
    <w:rsid w:val="004B44E0"/>
    <w:rsid w:val="004B44F7"/>
    <w:rsid w:val="004B65A5"/>
    <w:rsid w:val="004B6D4A"/>
    <w:rsid w:val="004C010F"/>
    <w:rsid w:val="004C023F"/>
    <w:rsid w:val="004C2B51"/>
    <w:rsid w:val="004C38F5"/>
    <w:rsid w:val="004C3F70"/>
    <w:rsid w:val="004C48DB"/>
    <w:rsid w:val="004C6600"/>
    <w:rsid w:val="004C6D79"/>
    <w:rsid w:val="004C7F30"/>
    <w:rsid w:val="004D08D2"/>
    <w:rsid w:val="004D0DD1"/>
    <w:rsid w:val="004D1F2B"/>
    <w:rsid w:val="004D3CFA"/>
    <w:rsid w:val="004D49BB"/>
    <w:rsid w:val="004D4F98"/>
    <w:rsid w:val="004E14CB"/>
    <w:rsid w:val="004E1A55"/>
    <w:rsid w:val="004E30BD"/>
    <w:rsid w:val="004F007F"/>
    <w:rsid w:val="004F1C50"/>
    <w:rsid w:val="004F2E63"/>
    <w:rsid w:val="004F355B"/>
    <w:rsid w:val="00502B0B"/>
    <w:rsid w:val="00503240"/>
    <w:rsid w:val="00504778"/>
    <w:rsid w:val="00507327"/>
    <w:rsid w:val="005073A4"/>
    <w:rsid w:val="005103BE"/>
    <w:rsid w:val="00516B81"/>
    <w:rsid w:val="0052534B"/>
    <w:rsid w:val="00527106"/>
    <w:rsid w:val="00527F63"/>
    <w:rsid w:val="00530877"/>
    <w:rsid w:val="00530B4D"/>
    <w:rsid w:val="0054183D"/>
    <w:rsid w:val="00542686"/>
    <w:rsid w:val="00545BA6"/>
    <w:rsid w:val="00552511"/>
    <w:rsid w:val="005614AF"/>
    <w:rsid w:val="005619EF"/>
    <w:rsid w:val="00563307"/>
    <w:rsid w:val="0056470E"/>
    <w:rsid w:val="00573169"/>
    <w:rsid w:val="005801E4"/>
    <w:rsid w:val="005822D3"/>
    <w:rsid w:val="005831AB"/>
    <w:rsid w:val="005961F1"/>
    <w:rsid w:val="005A327B"/>
    <w:rsid w:val="005A4155"/>
    <w:rsid w:val="005A4A2D"/>
    <w:rsid w:val="005B1534"/>
    <w:rsid w:val="005C15B3"/>
    <w:rsid w:val="005C1957"/>
    <w:rsid w:val="005C246D"/>
    <w:rsid w:val="005C262D"/>
    <w:rsid w:val="005C52E6"/>
    <w:rsid w:val="005D200C"/>
    <w:rsid w:val="005E070D"/>
    <w:rsid w:val="005E07C7"/>
    <w:rsid w:val="005F5C98"/>
    <w:rsid w:val="005F65FE"/>
    <w:rsid w:val="00600DE2"/>
    <w:rsid w:val="0060263A"/>
    <w:rsid w:val="00603ECA"/>
    <w:rsid w:val="00612DC6"/>
    <w:rsid w:val="00621E7E"/>
    <w:rsid w:val="00627D22"/>
    <w:rsid w:val="0063198F"/>
    <w:rsid w:val="006366D7"/>
    <w:rsid w:val="00637244"/>
    <w:rsid w:val="006442A3"/>
    <w:rsid w:val="006475F3"/>
    <w:rsid w:val="00647D0C"/>
    <w:rsid w:val="006502F8"/>
    <w:rsid w:val="00654240"/>
    <w:rsid w:val="00654624"/>
    <w:rsid w:val="006553DC"/>
    <w:rsid w:val="00656477"/>
    <w:rsid w:val="0065760A"/>
    <w:rsid w:val="006601B2"/>
    <w:rsid w:val="00660912"/>
    <w:rsid w:val="00662DDF"/>
    <w:rsid w:val="00663130"/>
    <w:rsid w:val="0066367E"/>
    <w:rsid w:val="00666F0F"/>
    <w:rsid w:val="00667333"/>
    <w:rsid w:val="006709E7"/>
    <w:rsid w:val="006722CF"/>
    <w:rsid w:val="00672845"/>
    <w:rsid w:val="006741E8"/>
    <w:rsid w:val="006748A0"/>
    <w:rsid w:val="006750DB"/>
    <w:rsid w:val="006919FE"/>
    <w:rsid w:val="00691A4F"/>
    <w:rsid w:val="00695E85"/>
    <w:rsid w:val="00697089"/>
    <w:rsid w:val="006A6520"/>
    <w:rsid w:val="006A6753"/>
    <w:rsid w:val="006B0887"/>
    <w:rsid w:val="006B1A65"/>
    <w:rsid w:val="006B37F1"/>
    <w:rsid w:val="006B4058"/>
    <w:rsid w:val="006C34E1"/>
    <w:rsid w:val="006D123A"/>
    <w:rsid w:val="006E3087"/>
    <w:rsid w:val="006F075C"/>
    <w:rsid w:val="006F30AE"/>
    <w:rsid w:val="00700E48"/>
    <w:rsid w:val="00703244"/>
    <w:rsid w:val="00710C2B"/>
    <w:rsid w:val="00711294"/>
    <w:rsid w:val="00713B62"/>
    <w:rsid w:val="00714C8D"/>
    <w:rsid w:val="00724B65"/>
    <w:rsid w:val="007270AF"/>
    <w:rsid w:val="00734883"/>
    <w:rsid w:val="007349C7"/>
    <w:rsid w:val="00747230"/>
    <w:rsid w:val="00755EBF"/>
    <w:rsid w:val="00756F8C"/>
    <w:rsid w:val="00763D03"/>
    <w:rsid w:val="0076763C"/>
    <w:rsid w:val="00771FF6"/>
    <w:rsid w:val="00773D1E"/>
    <w:rsid w:val="00777921"/>
    <w:rsid w:val="007803CC"/>
    <w:rsid w:val="00780CBF"/>
    <w:rsid w:val="00781915"/>
    <w:rsid w:val="007827EF"/>
    <w:rsid w:val="007832A4"/>
    <w:rsid w:val="00790F48"/>
    <w:rsid w:val="00794905"/>
    <w:rsid w:val="00797D6E"/>
    <w:rsid w:val="007A1D74"/>
    <w:rsid w:val="007A27CC"/>
    <w:rsid w:val="007A3053"/>
    <w:rsid w:val="007A5247"/>
    <w:rsid w:val="007A5B49"/>
    <w:rsid w:val="007A6E7B"/>
    <w:rsid w:val="007B08A2"/>
    <w:rsid w:val="007B4441"/>
    <w:rsid w:val="007B750A"/>
    <w:rsid w:val="007C19A3"/>
    <w:rsid w:val="007C290E"/>
    <w:rsid w:val="007C2DCD"/>
    <w:rsid w:val="007C7545"/>
    <w:rsid w:val="007D3A90"/>
    <w:rsid w:val="007D3ACB"/>
    <w:rsid w:val="007D4721"/>
    <w:rsid w:val="007D5917"/>
    <w:rsid w:val="007D5DA9"/>
    <w:rsid w:val="007D654C"/>
    <w:rsid w:val="007D67E3"/>
    <w:rsid w:val="007D68FB"/>
    <w:rsid w:val="007D69D3"/>
    <w:rsid w:val="007E1B79"/>
    <w:rsid w:val="007E6965"/>
    <w:rsid w:val="007F15D0"/>
    <w:rsid w:val="007F3523"/>
    <w:rsid w:val="007F7D96"/>
    <w:rsid w:val="008026D6"/>
    <w:rsid w:val="00803B17"/>
    <w:rsid w:val="008040A3"/>
    <w:rsid w:val="0080725B"/>
    <w:rsid w:val="00813203"/>
    <w:rsid w:val="00813C46"/>
    <w:rsid w:val="00822368"/>
    <w:rsid w:val="008234F5"/>
    <w:rsid w:val="00823E6C"/>
    <w:rsid w:val="00825ABB"/>
    <w:rsid w:val="00825F63"/>
    <w:rsid w:val="00826E6D"/>
    <w:rsid w:val="00836278"/>
    <w:rsid w:val="00837782"/>
    <w:rsid w:val="00837B46"/>
    <w:rsid w:val="00837CA8"/>
    <w:rsid w:val="008464C2"/>
    <w:rsid w:val="008504CE"/>
    <w:rsid w:val="00851F16"/>
    <w:rsid w:val="0085278F"/>
    <w:rsid w:val="008563FF"/>
    <w:rsid w:val="0085688B"/>
    <w:rsid w:val="0086360F"/>
    <w:rsid w:val="008647E2"/>
    <w:rsid w:val="00870210"/>
    <w:rsid w:val="0087086D"/>
    <w:rsid w:val="0087592A"/>
    <w:rsid w:val="00877F31"/>
    <w:rsid w:val="00880996"/>
    <w:rsid w:val="00886A79"/>
    <w:rsid w:val="0089079F"/>
    <w:rsid w:val="008909AB"/>
    <w:rsid w:val="00890BDB"/>
    <w:rsid w:val="00890E6C"/>
    <w:rsid w:val="0089121D"/>
    <w:rsid w:val="0089260D"/>
    <w:rsid w:val="008937A2"/>
    <w:rsid w:val="00895C8B"/>
    <w:rsid w:val="00895EAF"/>
    <w:rsid w:val="008B126E"/>
    <w:rsid w:val="008B161D"/>
    <w:rsid w:val="008B32CE"/>
    <w:rsid w:val="008C5ABC"/>
    <w:rsid w:val="008C71E1"/>
    <w:rsid w:val="008E005F"/>
    <w:rsid w:val="008E0BC9"/>
    <w:rsid w:val="008E2D75"/>
    <w:rsid w:val="008E6267"/>
    <w:rsid w:val="008F06DD"/>
    <w:rsid w:val="008F1605"/>
    <w:rsid w:val="008F72C9"/>
    <w:rsid w:val="008F77A9"/>
    <w:rsid w:val="00902D46"/>
    <w:rsid w:val="00903656"/>
    <w:rsid w:val="0090412D"/>
    <w:rsid w:val="009072C3"/>
    <w:rsid w:val="009113AE"/>
    <w:rsid w:val="0091183E"/>
    <w:rsid w:val="00916AD8"/>
    <w:rsid w:val="009207FE"/>
    <w:rsid w:val="009237B9"/>
    <w:rsid w:val="0092453B"/>
    <w:rsid w:val="00925A19"/>
    <w:rsid w:val="00930AC6"/>
    <w:rsid w:val="00931EB5"/>
    <w:rsid w:val="0093751C"/>
    <w:rsid w:val="00942AC7"/>
    <w:rsid w:val="00957AE4"/>
    <w:rsid w:val="00957CC4"/>
    <w:rsid w:val="00965AF1"/>
    <w:rsid w:val="00966812"/>
    <w:rsid w:val="00970154"/>
    <w:rsid w:val="00971442"/>
    <w:rsid w:val="0097624D"/>
    <w:rsid w:val="00977A3B"/>
    <w:rsid w:val="00982216"/>
    <w:rsid w:val="00984992"/>
    <w:rsid w:val="0099197F"/>
    <w:rsid w:val="009A5497"/>
    <w:rsid w:val="009A6A48"/>
    <w:rsid w:val="009B3305"/>
    <w:rsid w:val="009B4B93"/>
    <w:rsid w:val="009C591A"/>
    <w:rsid w:val="009D3BA1"/>
    <w:rsid w:val="009D4E90"/>
    <w:rsid w:val="009E04F4"/>
    <w:rsid w:val="009E0551"/>
    <w:rsid w:val="009E324B"/>
    <w:rsid w:val="009E405B"/>
    <w:rsid w:val="009F37B3"/>
    <w:rsid w:val="009F623F"/>
    <w:rsid w:val="00A013B5"/>
    <w:rsid w:val="00A03A90"/>
    <w:rsid w:val="00A13506"/>
    <w:rsid w:val="00A145F0"/>
    <w:rsid w:val="00A16299"/>
    <w:rsid w:val="00A3468D"/>
    <w:rsid w:val="00A35235"/>
    <w:rsid w:val="00A3780B"/>
    <w:rsid w:val="00A40AFE"/>
    <w:rsid w:val="00A4114E"/>
    <w:rsid w:val="00A43808"/>
    <w:rsid w:val="00A453B2"/>
    <w:rsid w:val="00A4725A"/>
    <w:rsid w:val="00A47276"/>
    <w:rsid w:val="00A47C16"/>
    <w:rsid w:val="00A50950"/>
    <w:rsid w:val="00A50FF8"/>
    <w:rsid w:val="00A51AC7"/>
    <w:rsid w:val="00A55DD9"/>
    <w:rsid w:val="00A577C2"/>
    <w:rsid w:val="00A6143C"/>
    <w:rsid w:val="00A71ECA"/>
    <w:rsid w:val="00A7288D"/>
    <w:rsid w:val="00A72E5B"/>
    <w:rsid w:val="00A754A0"/>
    <w:rsid w:val="00A900C5"/>
    <w:rsid w:val="00A962D6"/>
    <w:rsid w:val="00A9640C"/>
    <w:rsid w:val="00A97644"/>
    <w:rsid w:val="00AA0944"/>
    <w:rsid w:val="00AA3B11"/>
    <w:rsid w:val="00AA5918"/>
    <w:rsid w:val="00AA6952"/>
    <w:rsid w:val="00AB74AB"/>
    <w:rsid w:val="00AC0B4B"/>
    <w:rsid w:val="00AC3910"/>
    <w:rsid w:val="00AD51D5"/>
    <w:rsid w:val="00AD600C"/>
    <w:rsid w:val="00AD7973"/>
    <w:rsid w:val="00AE003C"/>
    <w:rsid w:val="00AE0266"/>
    <w:rsid w:val="00AE02B8"/>
    <w:rsid w:val="00AE2418"/>
    <w:rsid w:val="00AE2561"/>
    <w:rsid w:val="00AE7526"/>
    <w:rsid w:val="00AF3CFA"/>
    <w:rsid w:val="00AF7453"/>
    <w:rsid w:val="00B03A36"/>
    <w:rsid w:val="00B10802"/>
    <w:rsid w:val="00B10F73"/>
    <w:rsid w:val="00B13139"/>
    <w:rsid w:val="00B1364B"/>
    <w:rsid w:val="00B15E4D"/>
    <w:rsid w:val="00B22EE9"/>
    <w:rsid w:val="00B303D5"/>
    <w:rsid w:val="00B33687"/>
    <w:rsid w:val="00B3647D"/>
    <w:rsid w:val="00B40EF8"/>
    <w:rsid w:val="00B43D55"/>
    <w:rsid w:val="00B4700D"/>
    <w:rsid w:val="00B47FBA"/>
    <w:rsid w:val="00B50638"/>
    <w:rsid w:val="00B51E97"/>
    <w:rsid w:val="00B55A80"/>
    <w:rsid w:val="00B569B6"/>
    <w:rsid w:val="00B57A68"/>
    <w:rsid w:val="00B61162"/>
    <w:rsid w:val="00B61C28"/>
    <w:rsid w:val="00B61F7B"/>
    <w:rsid w:val="00B62D6B"/>
    <w:rsid w:val="00B65830"/>
    <w:rsid w:val="00B72197"/>
    <w:rsid w:val="00B75E40"/>
    <w:rsid w:val="00B80585"/>
    <w:rsid w:val="00B8505C"/>
    <w:rsid w:val="00B92F0E"/>
    <w:rsid w:val="00B942EA"/>
    <w:rsid w:val="00BA02CF"/>
    <w:rsid w:val="00BB17BF"/>
    <w:rsid w:val="00BB1EC2"/>
    <w:rsid w:val="00BB3D2F"/>
    <w:rsid w:val="00BB4F3F"/>
    <w:rsid w:val="00BC0D6E"/>
    <w:rsid w:val="00BC1D39"/>
    <w:rsid w:val="00BD230D"/>
    <w:rsid w:val="00BD74C9"/>
    <w:rsid w:val="00BE2F18"/>
    <w:rsid w:val="00BE6334"/>
    <w:rsid w:val="00BF57E1"/>
    <w:rsid w:val="00BF687E"/>
    <w:rsid w:val="00C03288"/>
    <w:rsid w:val="00C10389"/>
    <w:rsid w:val="00C126D9"/>
    <w:rsid w:val="00C1686F"/>
    <w:rsid w:val="00C22604"/>
    <w:rsid w:val="00C2288B"/>
    <w:rsid w:val="00C27391"/>
    <w:rsid w:val="00C27F64"/>
    <w:rsid w:val="00C35B4F"/>
    <w:rsid w:val="00C36FA9"/>
    <w:rsid w:val="00C42D2F"/>
    <w:rsid w:val="00C459F3"/>
    <w:rsid w:val="00C46280"/>
    <w:rsid w:val="00C475C1"/>
    <w:rsid w:val="00C475C5"/>
    <w:rsid w:val="00C4767B"/>
    <w:rsid w:val="00C54044"/>
    <w:rsid w:val="00C5760C"/>
    <w:rsid w:val="00C60838"/>
    <w:rsid w:val="00C617D6"/>
    <w:rsid w:val="00C67EE6"/>
    <w:rsid w:val="00C764E8"/>
    <w:rsid w:val="00C82434"/>
    <w:rsid w:val="00C82580"/>
    <w:rsid w:val="00C85ADB"/>
    <w:rsid w:val="00C87900"/>
    <w:rsid w:val="00C92968"/>
    <w:rsid w:val="00C94A88"/>
    <w:rsid w:val="00CA1DA6"/>
    <w:rsid w:val="00CA4483"/>
    <w:rsid w:val="00CA639C"/>
    <w:rsid w:val="00CB2ACB"/>
    <w:rsid w:val="00CB542D"/>
    <w:rsid w:val="00CC300E"/>
    <w:rsid w:val="00CD780F"/>
    <w:rsid w:val="00CE0B13"/>
    <w:rsid w:val="00CE1029"/>
    <w:rsid w:val="00CE4267"/>
    <w:rsid w:val="00CF0E2C"/>
    <w:rsid w:val="00CF2FC6"/>
    <w:rsid w:val="00CF6668"/>
    <w:rsid w:val="00CF779B"/>
    <w:rsid w:val="00D00475"/>
    <w:rsid w:val="00D022D6"/>
    <w:rsid w:val="00D04230"/>
    <w:rsid w:val="00D051A5"/>
    <w:rsid w:val="00D05702"/>
    <w:rsid w:val="00D064BF"/>
    <w:rsid w:val="00D068EA"/>
    <w:rsid w:val="00D16B21"/>
    <w:rsid w:val="00D20BD4"/>
    <w:rsid w:val="00D2222B"/>
    <w:rsid w:val="00D22322"/>
    <w:rsid w:val="00D239F9"/>
    <w:rsid w:val="00D273CC"/>
    <w:rsid w:val="00D35936"/>
    <w:rsid w:val="00D36011"/>
    <w:rsid w:val="00D403D8"/>
    <w:rsid w:val="00D41934"/>
    <w:rsid w:val="00D4226D"/>
    <w:rsid w:val="00D446F3"/>
    <w:rsid w:val="00D47016"/>
    <w:rsid w:val="00D479E8"/>
    <w:rsid w:val="00D50BA8"/>
    <w:rsid w:val="00D51040"/>
    <w:rsid w:val="00D53282"/>
    <w:rsid w:val="00D533BA"/>
    <w:rsid w:val="00D542EF"/>
    <w:rsid w:val="00D6661B"/>
    <w:rsid w:val="00D764B2"/>
    <w:rsid w:val="00D80854"/>
    <w:rsid w:val="00D8093C"/>
    <w:rsid w:val="00D8405C"/>
    <w:rsid w:val="00D92A63"/>
    <w:rsid w:val="00DA4C22"/>
    <w:rsid w:val="00DA527F"/>
    <w:rsid w:val="00DB032D"/>
    <w:rsid w:val="00DB0755"/>
    <w:rsid w:val="00DB22DE"/>
    <w:rsid w:val="00DB4004"/>
    <w:rsid w:val="00DB43B1"/>
    <w:rsid w:val="00DB4C83"/>
    <w:rsid w:val="00DB7E05"/>
    <w:rsid w:val="00DC0290"/>
    <w:rsid w:val="00DC1513"/>
    <w:rsid w:val="00DC70DE"/>
    <w:rsid w:val="00DC741D"/>
    <w:rsid w:val="00DD35C6"/>
    <w:rsid w:val="00DD517E"/>
    <w:rsid w:val="00DF0038"/>
    <w:rsid w:val="00DF0529"/>
    <w:rsid w:val="00DF1165"/>
    <w:rsid w:val="00DF2510"/>
    <w:rsid w:val="00DF2888"/>
    <w:rsid w:val="00DF59D0"/>
    <w:rsid w:val="00DF6BD1"/>
    <w:rsid w:val="00E01CD2"/>
    <w:rsid w:val="00E10561"/>
    <w:rsid w:val="00E13D36"/>
    <w:rsid w:val="00E14759"/>
    <w:rsid w:val="00E15CF4"/>
    <w:rsid w:val="00E24809"/>
    <w:rsid w:val="00E2482A"/>
    <w:rsid w:val="00E24D86"/>
    <w:rsid w:val="00E306DF"/>
    <w:rsid w:val="00E3444F"/>
    <w:rsid w:val="00E42553"/>
    <w:rsid w:val="00E4472F"/>
    <w:rsid w:val="00E46D9A"/>
    <w:rsid w:val="00E50894"/>
    <w:rsid w:val="00E55F19"/>
    <w:rsid w:val="00E65AC0"/>
    <w:rsid w:val="00E740B5"/>
    <w:rsid w:val="00E74C85"/>
    <w:rsid w:val="00E76CA4"/>
    <w:rsid w:val="00E90DAB"/>
    <w:rsid w:val="00E94E82"/>
    <w:rsid w:val="00EA171B"/>
    <w:rsid w:val="00EA63B9"/>
    <w:rsid w:val="00EA68DF"/>
    <w:rsid w:val="00EA6EB2"/>
    <w:rsid w:val="00EB005F"/>
    <w:rsid w:val="00EB1DBF"/>
    <w:rsid w:val="00EB5718"/>
    <w:rsid w:val="00EB6938"/>
    <w:rsid w:val="00EB799B"/>
    <w:rsid w:val="00EC3471"/>
    <w:rsid w:val="00EC4D62"/>
    <w:rsid w:val="00ED0C0F"/>
    <w:rsid w:val="00ED11F5"/>
    <w:rsid w:val="00ED739B"/>
    <w:rsid w:val="00ED78B8"/>
    <w:rsid w:val="00EE0E63"/>
    <w:rsid w:val="00EE21B9"/>
    <w:rsid w:val="00EE5224"/>
    <w:rsid w:val="00EE5477"/>
    <w:rsid w:val="00EF017D"/>
    <w:rsid w:val="00EF1241"/>
    <w:rsid w:val="00EF568F"/>
    <w:rsid w:val="00EF5A95"/>
    <w:rsid w:val="00EF6E1F"/>
    <w:rsid w:val="00F0004F"/>
    <w:rsid w:val="00F03772"/>
    <w:rsid w:val="00F07EBF"/>
    <w:rsid w:val="00F150B8"/>
    <w:rsid w:val="00F1740F"/>
    <w:rsid w:val="00F17F21"/>
    <w:rsid w:val="00F22FE3"/>
    <w:rsid w:val="00F3157F"/>
    <w:rsid w:val="00F3237D"/>
    <w:rsid w:val="00F346C0"/>
    <w:rsid w:val="00F436A8"/>
    <w:rsid w:val="00F44657"/>
    <w:rsid w:val="00F46ED0"/>
    <w:rsid w:val="00F501D1"/>
    <w:rsid w:val="00F5051F"/>
    <w:rsid w:val="00F52BD6"/>
    <w:rsid w:val="00F54C14"/>
    <w:rsid w:val="00F55868"/>
    <w:rsid w:val="00F61147"/>
    <w:rsid w:val="00F61E34"/>
    <w:rsid w:val="00F673EB"/>
    <w:rsid w:val="00F7052A"/>
    <w:rsid w:val="00F7149A"/>
    <w:rsid w:val="00F71A0C"/>
    <w:rsid w:val="00F74CCE"/>
    <w:rsid w:val="00F82049"/>
    <w:rsid w:val="00F824F4"/>
    <w:rsid w:val="00F82B78"/>
    <w:rsid w:val="00F84145"/>
    <w:rsid w:val="00F90AF8"/>
    <w:rsid w:val="00F92AB1"/>
    <w:rsid w:val="00F9763A"/>
    <w:rsid w:val="00FB43EE"/>
    <w:rsid w:val="00FB4DB0"/>
    <w:rsid w:val="00FB4EFC"/>
    <w:rsid w:val="00FC14B6"/>
    <w:rsid w:val="00FC297C"/>
    <w:rsid w:val="00FC733A"/>
    <w:rsid w:val="00FC76CA"/>
    <w:rsid w:val="00FC782A"/>
    <w:rsid w:val="00FE0D1B"/>
    <w:rsid w:val="00FE2176"/>
    <w:rsid w:val="00FE4F2B"/>
    <w:rsid w:val="00FE78CA"/>
    <w:rsid w:val="00FF01EA"/>
    <w:rsid w:val="00FF1795"/>
    <w:rsid w:val="00FF44C2"/>
    <w:rsid w:val="00FF4A75"/>
    <w:rsid w:val="00FF68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11D18F"/>
  <w15:docId w15:val="{6D0E9829-982A-451A-B98E-976566551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552511"/>
    <w:pPr>
      <w:keepNext/>
      <w:keepLines/>
      <w:spacing w:after="252"/>
      <w:ind w:left="10" w:right="1"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3A7E07"/>
    <w:pPr>
      <w:keepNext/>
      <w:keepLines/>
      <w:pBdr>
        <w:bottom w:val="single" w:sz="12" w:space="1" w:color="2F5496" w:themeColor="accent1" w:themeShade="BF"/>
      </w:pBdr>
      <w:spacing w:before="200" w:after="0"/>
      <w:outlineLvl w:val="1"/>
    </w:pPr>
    <w:rPr>
      <w:rFonts w:asciiTheme="majorHAnsi" w:eastAsiaTheme="majorEastAsia" w:hAnsiTheme="majorHAnsi" w:cstheme="majorBidi"/>
      <w:b/>
      <w:color w:val="004386"/>
      <w:sz w:val="26"/>
      <w:szCs w:val="26"/>
    </w:rPr>
  </w:style>
  <w:style w:type="paragraph" w:styleId="Heading3">
    <w:name w:val="heading 3"/>
    <w:basedOn w:val="Normal"/>
    <w:next w:val="Normal"/>
    <w:link w:val="Heading3Char"/>
    <w:uiPriority w:val="9"/>
    <w:unhideWhenUsed/>
    <w:qFormat/>
    <w:rsid w:val="003A7E07"/>
    <w:pPr>
      <w:keepNext/>
      <w:keepLines/>
      <w:spacing w:before="200" w:after="0" w:line="276" w:lineRule="auto"/>
      <w:outlineLvl w:val="2"/>
    </w:pPr>
    <w:rPr>
      <w:rFonts w:asciiTheme="majorHAnsi" w:eastAsiaTheme="majorEastAsia" w:hAnsiTheme="majorHAnsi" w:cstheme="majorBidi"/>
      <w:b/>
      <w:i/>
      <w:color w:val="004386"/>
      <w:szCs w:val="24"/>
    </w:rPr>
  </w:style>
  <w:style w:type="paragraph" w:styleId="Heading4">
    <w:name w:val="heading 4"/>
    <w:basedOn w:val="Normal"/>
    <w:next w:val="Normal"/>
    <w:link w:val="Heading4Char"/>
    <w:uiPriority w:val="9"/>
    <w:semiHidden/>
    <w:unhideWhenUsed/>
    <w:qFormat/>
    <w:rsid w:val="00E306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894"/>
    <w:pPr>
      <w:ind w:left="720"/>
      <w:contextualSpacing/>
    </w:pPr>
  </w:style>
  <w:style w:type="character" w:customStyle="1" w:styleId="Heading1Char">
    <w:name w:val="Heading 1 Char"/>
    <w:basedOn w:val="DefaultParagraphFont"/>
    <w:link w:val="Heading1"/>
    <w:uiPriority w:val="9"/>
    <w:rsid w:val="00552511"/>
    <w:rPr>
      <w:rFonts w:ascii="Times New Roman" w:eastAsia="Times New Roman" w:hAnsi="Times New Roman" w:cs="Times New Roman"/>
      <w:b/>
      <w:color w:val="000000"/>
      <w:sz w:val="24"/>
    </w:rPr>
  </w:style>
  <w:style w:type="paragraph" w:styleId="FootnoteText">
    <w:name w:val="footnote text"/>
    <w:basedOn w:val="Normal"/>
    <w:link w:val="FootnoteTextChar"/>
    <w:uiPriority w:val="99"/>
    <w:unhideWhenUsed/>
    <w:rsid w:val="00376B64"/>
    <w:pPr>
      <w:spacing w:after="0" w:line="240" w:lineRule="auto"/>
    </w:pPr>
    <w:rPr>
      <w:sz w:val="20"/>
      <w:szCs w:val="20"/>
    </w:rPr>
  </w:style>
  <w:style w:type="character" w:customStyle="1" w:styleId="FootnoteTextChar">
    <w:name w:val="Footnote Text Char"/>
    <w:basedOn w:val="DefaultParagraphFont"/>
    <w:link w:val="FootnoteText"/>
    <w:uiPriority w:val="99"/>
    <w:rsid w:val="00376B64"/>
    <w:rPr>
      <w:sz w:val="20"/>
      <w:szCs w:val="20"/>
    </w:rPr>
  </w:style>
  <w:style w:type="character" w:styleId="FootnoteReference">
    <w:name w:val="footnote reference"/>
    <w:basedOn w:val="DefaultParagraphFont"/>
    <w:uiPriority w:val="99"/>
    <w:unhideWhenUsed/>
    <w:rsid w:val="00376B64"/>
    <w:rPr>
      <w:vertAlign w:val="superscript"/>
    </w:rPr>
  </w:style>
  <w:style w:type="paragraph" w:styleId="BalloonText">
    <w:name w:val="Balloon Text"/>
    <w:basedOn w:val="Normal"/>
    <w:link w:val="BalloonTextChar"/>
    <w:uiPriority w:val="99"/>
    <w:semiHidden/>
    <w:unhideWhenUsed/>
    <w:rsid w:val="00AC391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3910"/>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200C"/>
    <w:rPr>
      <w:sz w:val="16"/>
      <w:szCs w:val="16"/>
    </w:rPr>
  </w:style>
  <w:style w:type="paragraph" w:styleId="CommentText">
    <w:name w:val="annotation text"/>
    <w:basedOn w:val="Normal"/>
    <w:link w:val="CommentTextChar"/>
    <w:uiPriority w:val="99"/>
    <w:semiHidden/>
    <w:unhideWhenUsed/>
    <w:rsid w:val="005D200C"/>
    <w:pPr>
      <w:spacing w:line="240" w:lineRule="auto"/>
    </w:pPr>
    <w:rPr>
      <w:sz w:val="20"/>
      <w:szCs w:val="20"/>
    </w:rPr>
  </w:style>
  <w:style w:type="character" w:customStyle="1" w:styleId="CommentTextChar">
    <w:name w:val="Comment Text Char"/>
    <w:basedOn w:val="DefaultParagraphFont"/>
    <w:link w:val="CommentText"/>
    <w:uiPriority w:val="99"/>
    <w:semiHidden/>
    <w:rsid w:val="005D200C"/>
    <w:rPr>
      <w:sz w:val="20"/>
      <w:szCs w:val="20"/>
    </w:rPr>
  </w:style>
  <w:style w:type="paragraph" w:styleId="CommentSubject">
    <w:name w:val="annotation subject"/>
    <w:basedOn w:val="CommentText"/>
    <w:next w:val="CommentText"/>
    <w:link w:val="CommentSubjectChar"/>
    <w:uiPriority w:val="99"/>
    <w:semiHidden/>
    <w:unhideWhenUsed/>
    <w:rsid w:val="005D200C"/>
    <w:rPr>
      <w:b/>
      <w:bCs/>
    </w:rPr>
  </w:style>
  <w:style w:type="character" w:customStyle="1" w:styleId="CommentSubjectChar">
    <w:name w:val="Comment Subject Char"/>
    <w:basedOn w:val="CommentTextChar"/>
    <w:link w:val="CommentSubject"/>
    <w:uiPriority w:val="99"/>
    <w:semiHidden/>
    <w:rsid w:val="005D200C"/>
    <w:rPr>
      <w:b/>
      <w:bCs/>
      <w:sz w:val="20"/>
      <w:szCs w:val="20"/>
    </w:rPr>
  </w:style>
  <w:style w:type="paragraph" w:styleId="Revision">
    <w:name w:val="Revision"/>
    <w:hidden/>
    <w:uiPriority w:val="99"/>
    <w:semiHidden/>
    <w:rsid w:val="00E13D36"/>
    <w:pPr>
      <w:spacing w:after="0" w:line="240" w:lineRule="auto"/>
    </w:pPr>
  </w:style>
  <w:style w:type="character" w:styleId="Hyperlink">
    <w:name w:val="Hyperlink"/>
    <w:basedOn w:val="DefaultParagraphFont"/>
    <w:uiPriority w:val="99"/>
    <w:unhideWhenUsed/>
    <w:rsid w:val="00EE5224"/>
    <w:rPr>
      <w:color w:val="0563C1" w:themeColor="hyperlink"/>
      <w:u w:val="single"/>
    </w:rPr>
  </w:style>
  <w:style w:type="table" w:styleId="TableGrid">
    <w:name w:val="Table Grid"/>
    <w:basedOn w:val="TableNormal"/>
    <w:uiPriority w:val="39"/>
    <w:rsid w:val="00525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FF44C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4Char">
    <w:name w:val="Heading 4 Char"/>
    <w:basedOn w:val="DefaultParagraphFont"/>
    <w:link w:val="Heading4"/>
    <w:uiPriority w:val="9"/>
    <w:rsid w:val="00E306DF"/>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3A7E07"/>
    <w:rPr>
      <w:rFonts w:asciiTheme="majorHAnsi" w:eastAsiaTheme="majorEastAsia" w:hAnsiTheme="majorHAnsi" w:cstheme="majorBidi"/>
      <w:b/>
      <w:i/>
      <w:color w:val="004386"/>
      <w:szCs w:val="24"/>
    </w:rPr>
  </w:style>
  <w:style w:type="paragraph" w:styleId="Header">
    <w:name w:val="header"/>
    <w:basedOn w:val="Normal"/>
    <w:link w:val="HeaderChar"/>
    <w:uiPriority w:val="99"/>
    <w:unhideWhenUsed/>
    <w:rsid w:val="00390D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D77"/>
  </w:style>
  <w:style w:type="paragraph" w:styleId="Footer">
    <w:name w:val="footer"/>
    <w:basedOn w:val="Normal"/>
    <w:link w:val="FooterChar"/>
    <w:uiPriority w:val="99"/>
    <w:unhideWhenUsed/>
    <w:rsid w:val="00390D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D77"/>
  </w:style>
  <w:style w:type="table" w:customStyle="1" w:styleId="GridTable4-Accent51">
    <w:name w:val="Grid Table 4 - Accent 51"/>
    <w:basedOn w:val="TableNormal"/>
    <w:uiPriority w:val="49"/>
    <w:rsid w:val="00CA1DA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3A7E07"/>
    <w:rPr>
      <w:rFonts w:asciiTheme="majorHAnsi" w:eastAsiaTheme="majorEastAsia" w:hAnsiTheme="majorHAnsi" w:cstheme="majorBidi"/>
      <w:b/>
      <w:color w:val="004386"/>
      <w:sz w:val="26"/>
      <w:szCs w:val="26"/>
    </w:rPr>
  </w:style>
  <w:style w:type="character" w:styleId="FollowedHyperlink">
    <w:name w:val="FollowedHyperlink"/>
    <w:basedOn w:val="DefaultParagraphFont"/>
    <w:uiPriority w:val="99"/>
    <w:semiHidden/>
    <w:unhideWhenUsed/>
    <w:rsid w:val="009E04F4"/>
    <w:rPr>
      <w:color w:val="954F72" w:themeColor="followedHyperlink"/>
      <w:u w:val="single"/>
    </w:rPr>
  </w:style>
  <w:style w:type="paragraph" w:styleId="NoSpacing">
    <w:name w:val="No Spacing"/>
    <w:basedOn w:val="Normal"/>
    <w:uiPriority w:val="1"/>
    <w:qFormat/>
    <w:rsid w:val="002B54CD"/>
    <w:pPr>
      <w:spacing w:after="120" w:line="276" w:lineRule="auto"/>
    </w:pPr>
    <w:rPr>
      <w:rFonts w:cs="Times New Roman"/>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0952">
      <w:bodyDiv w:val="1"/>
      <w:marLeft w:val="0"/>
      <w:marRight w:val="0"/>
      <w:marTop w:val="0"/>
      <w:marBottom w:val="0"/>
      <w:divBdr>
        <w:top w:val="none" w:sz="0" w:space="0" w:color="auto"/>
        <w:left w:val="none" w:sz="0" w:space="0" w:color="auto"/>
        <w:bottom w:val="none" w:sz="0" w:space="0" w:color="auto"/>
        <w:right w:val="none" w:sz="0" w:space="0" w:color="auto"/>
      </w:divBdr>
    </w:div>
    <w:div w:id="122699048">
      <w:bodyDiv w:val="1"/>
      <w:marLeft w:val="0"/>
      <w:marRight w:val="0"/>
      <w:marTop w:val="0"/>
      <w:marBottom w:val="0"/>
      <w:divBdr>
        <w:top w:val="none" w:sz="0" w:space="0" w:color="auto"/>
        <w:left w:val="none" w:sz="0" w:space="0" w:color="auto"/>
        <w:bottom w:val="none" w:sz="0" w:space="0" w:color="auto"/>
        <w:right w:val="none" w:sz="0" w:space="0" w:color="auto"/>
      </w:divBdr>
    </w:div>
    <w:div w:id="183708790">
      <w:bodyDiv w:val="1"/>
      <w:marLeft w:val="0"/>
      <w:marRight w:val="0"/>
      <w:marTop w:val="0"/>
      <w:marBottom w:val="0"/>
      <w:divBdr>
        <w:top w:val="none" w:sz="0" w:space="0" w:color="auto"/>
        <w:left w:val="none" w:sz="0" w:space="0" w:color="auto"/>
        <w:bottom w:val="none" w:sz="0" w:space="0" w:color="auto"/>
        <w:right w:val="none" w:sz="0" w:space="0" w:color="auto"/>
      </w:divBdr>
    </w:div>
    <w:div w:id="312761655">
      <w:bodyDiv w:val="1"/>
      <w:marLeft w:val="0"/>
      <w:marRight w:val="0"/>
      <w:marTop w:val="0"/>
      <w:marBottom w:val="0"/>
      <w:divBdr>
        <w:top w:val="none" w:sz="0" w:space="0" w:color="auto"/>
        <w:left w:val="none" w:sz="0" w:space="0" w:color="auto"/>
        <w:bottom w:val="none" w:sz="0" w:space="0" w:color="auto"/>
        <w:right w:val="none" w:sz="0" w:space="0" w:color="auto"/>
      </w:divBdr>
    </w:div>
    <w:div w:id="556087537">
      <w:bodyDiv w:val="1"/>
      <w:marLeft w:val="0"/>
      <w:marRight w:val="0"/>
      <w:marTop w:val="0"/>
      <w:marBottom w:val="0"/>
      <w:divBdr>
        <w:top w:val="none" w:sz="0" w:space="0" w:color="auto"/>
        <w:left w:val="none" w:sz="0" w:space="0" w:color="auto"/>
        <w:bottom w:val="none" w:sz="0" w:space="0" w:color="auto"/>
        <w:right w:val="none" w:sz="0" w:space="0" w:color="auto"/>
      </w:divBdr>
    </w:div>
    <w:div w:id="577593616">
      <w:bodyDiv w:val="1"/>
      <w:marLeft w:val="0"/>
      <w:marRight w:val="0"/>
      <w:marTop w:val="0"/>
      <w:marBottom w:val="0"/>
      <w:divBdr>
        <w:top w:val="none" w:sz="0" w:space="0" w:color="auto"/>
        <w:left w:val="none" w:sz="0" w:space="0" w:color="auto"/>
        <w:bottom w:val="none" w:sz="0" w:space="0" w:color="auto"/>
        <w:right w:val="none" w:sz="0" w:space="0" w:color="auto"/>
      </w:divBdr>
    </w:div>
    <w:div w:id="659774249">
      <w:bodyDiv w:val="1"/>
      <w:marLeft w:val="0"/>
      <w:marRight w:val="0"/>
      <w:marTop w:val="0"/>
      <w:marBottom w:val="0"/>
      <w:divBdr>
        <w:top w:val="none" w:sz="0" w:space="0" w:color="auto"/>
        <w:left w:val="none" w:sz="0" w:space="0" w:color="auto"/>
        <w:bottom w:val="none" w:sz="0" w:space="0" w:color="auto"/>
        <w:right w:val="none" w:sz="0" w:space="0" w:color="auto"/>
      </w:divBdr>
    </w:div>
    <w:div w:id="1382286138">
      <w:bodyDiv w:val="1"/>
      <w:marLeft w:val="0"/>
      <w:marRight w:val="0"/>
      <w:marTop w:val="0"/>
      <w:marBottom w:val="0"/>
      <w:divBdr>
        <w:top w:val="none" w:sz="0" w:space="0" w:color="auto"/>
        <w:left w:val="none" w:sz="0" w:space="0" w:color="auto"/>
        <w:bottom w:val="none" w:sz="0" w:space="0" w:color="auto"/>
        <w:right w:val="none" w:sz="0" w:space="0" w:color="auto"/>
      </w:divBdr>
    </w:div>
    <w:div w:id="1435712897">
      <w:bodyDiv w:val="1"/>
      <w:marLeft w:val="0"/>
      <w:marRight w:val="0"/>
      <w:marTop w:val="0"/>
      <w:marBottom w:val="0"/>
      <w:divBdr>
        <w:top w:val="none" w:sz="0" w:space="0" w:color="auto"/>
        <w:left w:val="none" w:sz="0" w:space="0" w:color="auto"/>
        <w:bottom w:val="none" w:sz="0" w:space="0" w:color="auto"/>
        <w:right w:val="none" w:sz="0" w:space="0" w:color="auto"/>
      </w:divBdr>
    </w:div>
    <w:div w:id="1462189489">
      <w:bodyDiv w:val="1"/>
      <w:marLeft w:val="0"/>
      <w:marRight w:val="0"/>
      <w:marTop w:val="0"/>
      <w:marBottom w:val="0"/>
      <w:divBdr>
        <w:top w:val="none" w:sz="0" w:space="0" w:color="auto"/>
        <w:left w:val="none" w:sz="0" w:space="0" w:color="auto"/>
        <w:bottom w:val="none" w:sz="0" w:space="0" w:color="auto"/>
        <w:right w:val="none" w:sz="0" w:space="0" w:color="auto"/>
      </w:divBdr>
    </w:div>
    <w:div w:id="1492598799">
      <w:bodyDiv w:val="1"/>
      <w:marLeft w:val="0"/>
      <w:marRight w:val="0"/>
      <w:marTop w:val="0"/>
      <w:marBottom w:val="0"/>
      <w:divBdr>
        <w:top w:val="none" w:sz="0" w:space="0" w:color="auto"/>
        <w:left w:val="none" w:sz="0" w:space="0" w:color="auto"/>
        <w:bottom w:val="none" w:sz="0" w:space="0" w:color="auto"/>
        <w:right w:val="none" w:sz="0" w:space="0" w:color="auto"/>
      </w:divBdr>
    </w:div>
    <w:div w:id="1555849509">
      <w:bodyDiv w:val="1"/>
      <w:marLeft w:val="0"/>
      <w:marRight w:val="0"/>
      <w:marTop w:val="0"/>
      <w:marBottom w:val="0"/>
      <w:divBdr>
        <w:top w:val="none" w:sz="0" w:space="0" w:color="auto"/>
        <w:left w:val="none" w:sz="0" w:space="0" w:color="auto"/>
        <w:bottom w:val="none" w:sz="0" w:space="0" w:color="auto"/>
        <w:right w:val="none" w:sz="0" w:space="0" w:color="auto"/>
      </w:divBdr>
    </w:div>
    <w:div w:id="1625304273">
      <w:bodyDiv w:val="1"/>
      <w:marLeft w:val="0"/>
      <w:marRight w:val="0"/>
      <w:marTop w:val="0"/>
      <w:marBottom w:val="0"/>
      <w:divBdr>
        <w:top w:val="none" w:sz="0" w:space="0" w:color="auto"/>
        <w:left w:val="none" w:sz="0" w:space="0" w:color="auto"/>
        <w:bottom w:val="none" w:sz="0" w:space="0" w:color="auto"/>
        <w:right w:val="none" w:sz="0" w:space="0" w:color="auto"/>
      </w:divBdr>
    </w:div>
    <w:div w:id="1639261432">
      <w:bodyDiv w:val="1"/>
      <w:marLeft w:val="0"/>
      <w:marRight w:val="0"/>
      <w:marTop w:val="0"/>
      <w:marBottom w:val="0"/>
      <w:divBdr>
        <w:top w:val="none" w:sz="0" w:space="0" w:color="auto"/>
        <w:left w:val="none" w:sz="0" w:space="0" w:color="auto"/>
        <w:bottom w:val="none" w:sz="0" w:space="0" w:color="auto"/>
        <w:right w:val="none" w:sz="0" w:space="0" w:color="auto"/>
      </w:divBdr>
    </w:div>
    <w:div w:id="1722167655">
      <w:bodyDiv w:val="1"/>
      <w:marLeft w:val="0"/>
      <w:marRight w:val="0"/>
      <w:marTop w:val="0"/>
      <w:marBottom w:val="0"/>
      <w:divBdr>
        <w:top w:val="none" w:sz="0" w:space="0" w:color="auto"/>
        <w:left w:val="none" w:sz="0" w:space="0" w:color="auto"/>
        <w:bottom w:val="none" w:sz="0" w:space="0" w:color="auto"/>
        <w:right w:val="none" w:sz="0" w:space="0" w:color="auto"/>
      </w:divBdr>
      <w:divsChild>
        <w:div w:id="1245721586">
          <w:marLeft w:val="0"/>
          <w:marRight w:val="0"/>
          <w:marTop w:val="0"/>
          <w:marBottom w:val="0"/>
          <w:divBdr>
            <w:top w:val="none" w:sz="0" w:space="0" w:color="auto"/>
            <w:left w:val="none" w:sz="0" w:space="0" w:color="auto"/>
            <w:bottom w:val="none" w:sz="0" w:space="0" w:color="auto"/>
            <w:right w:val="none" w:sz="0" w:space="0" w:color="auto"/>
          </w:divBdr>
          <w:divsChild>
            <w:div w:id="452599889">
              <w:marLeft w:val="0"/>
              <w:marRight w:val="0"/>
              <w:marTop w:val="0"/>
              <w:marBottom w:val="0"/>
              <w:divBdr>
                <w:top w:val="single" w:sz="2" w:space="0" w:color="EFEFEF"/>
                <w:left w:val="none" w:sz="0" w:space="0" w:color="auto"/>
                <w:bottom w:val="none" w:sz="0" w:space="0" w:color="auto"/>
                <w:right w:val="none" w:sz="0" w:space="0" w:color="auto"/>
              </w:divBdr>
              <w:divsChild>
                <w:div w:id="1542328712">
                  <w:marLeft w:val="0"/>
                  <w:marRight w:val="0"/>
                  <w:marTop w:val="0"/>
                  <w:marBottom w:val="0"/>
                  <w:divBdr>
                    <w:top w:val="single" w:sz="6" w:space="0" w:color="D8D8D8"/>
                    <w:left w:val="none" w:sz="0" w:space="0" w:color="auto"/>
                    <w:bottom w:val="none" w:sz="0" w:space="0" w:color="D8D8D8"/>
                    <w:right w:val="none" w:sz="0" w:space="0" w:color="auto"/>
                  </w:divBdr>
                  <w:divsChild>
                    <w:div w:id="818881678">
                      <w:marLeft w:val="0"/>
                      <w:marRight w:val="0"/>
                      <w:marTop w:val="0"/>
                      <w:marBottom w:val="0"/>
                      <w:divBdr>
                        <w:top w:val="none" w:sz="0" w:space="0" w:color="auto"/>
                        <w:left w:val="none" w:sz="0" w:space="0" w:color="auto"/>
                        <w:bottom w:val="none" w:sz="0" w:space="0" w:color="auto"/>
                        <w:right w:val="none" w:sz="0" w:space="0" w:color="auto"/>
                      </w:divBdr>
                      <w:divsChild>
                        <w:div w:id="1461531843">
                          <w:marLeft w:val="0"/>
                          <w:marRight w:val="0"/>
                          <w:marTop w:val="0"/>
                          <w:marBottom w:val="0"/>
                          <w:divBdr>
                            <w:top w:val="none" w:sz="0" w:space="0" w:color="auto"/>
                            <w:left w:val="none" w:sz="0" w:space="0" w:color="auto"/>
                            <w:bottom w:val="none" w:sz="0" w:space="0" w:color="auto"/>
                            <w:right w:val="none" w:sz="0" w:space="0" w:color="auto"/>
                          </w:divBdr>
                          <w:divsChild>
                            <w:div w:id="825781044">
                              <w:marLeft w:val="0"/>
                              <w:marRight w:val="0"/>
                              <w:marTop w:val="0"/>
                              <w:marBottom w:val="0"/>
                              <w:divBdr>
                                <w:top w:val="none" w:sz="0" w:space="0" w:color="auto"/>
                                <w:left w:val="none" w:sz="0" w:space="0" w:color="auto"/>
                                <w:bottom w:val="none" w:sz="0" w:space="0" w:color="auto"/>
                                <w:right w:val="none" w:sz="0" w:space="0" w:color="auto"/>
                              </w:divBdr>
                              <w:divsChild>
                                <w:div w:id="1880819510">
                                  <w:marLeft w:val="0"/>
                                  <w:marRight w:val="0"/>
                                  <w:marTop w:val="0"/>
                                  <w:marBottom w:val="0"/>
                                  <w:divBdr>
                                    <w:top w:val="none" w:sz="0" w:space="0" w:color="auto"/>
                                    <w:left w:val="none" w:sz="0" w:space="0" w:color="auto"/>
                                    <w:bottom w:val="none" w:sz="0" w:space="0" w:color="auto"/>
                                    <w:right w:val="none" w:sz="0" w:space="0" w:color="auto"/>
                                  </w:divBdr>
                                  <w:divsChild>
                                    <w:div w:id="1438479094">
                                      <w:marLeft w:val="660"/>
                                      <w:marRight w:val="0"/>
                                      <w:marTop w:val="0"/>
                                      <w:marBottom w:val="0"/>
                                      <w:divBdr>
                                        <w:top w:val="none" w:sz="0" w:space="0" w:color="auto"/>
                                        <w:left w:val="none" w:sz="0" w:space="0" w:color="auto"/>
                                        <w:bottom w:val="none" w:sz="0" w:space="0" w:color="auto"/>
                                        <w:right w:val="none" w:sz="0" w:space="0" w:color="auto"/>
                                      </w:divBdr>
                                      <w:divsChild>
                                        <w:div w:id="939140498">
                                          <w:marLeft w:val="0"/>
                                          <w:marRight w:val="0"/>
                                          <w:marTop w:val="0"/>
                                          <w:marBottom w:val="0"/>
                                          <w:divBdr>
                                            <w:top w:val="none" w:sz="0" w:space="0" w:color="auto"/>
                                            <w:left w:val="none" w:sz="0" w:space="0" w:color="auto"/>
                                            <w:bottom w:val="none" w:sz="0" w:space="0" w:color="auto"/>
                                            <w:right w:val="none" w:sz="0" w:space="0" w:color="auto"/>
                                          </w:divBdr>
                                          <w:divsChild>
                                            <w:div w:id="547228207">
                                              <w:marLeft w:val="0"/>
                                              <w:marRight w:val="225"/>
                                              <w:marTop w:val="75"/>
                                              <w:marBottom w:val="0"/>
                                              <w:divBdr>
                                                <w:top w:val="none" w:sz="0" w:space="0" w:color="auto"/>
                                                <w:left w:val="none" w:sz="0" w:space="0" w:color="auto"/>
                                                <w:bottom w:val="none" w:sz="0" w:space="0" w:color="auto"/>
                                                <w:right w:val="none" w:sz="0" w:space="0" w:color="auto"/>
                                              </w:divBdr>
                                              <w:divsChild>
                                                <w:div w:id="1138912561">
                                                  <w:marLeft w:val="0"/>
                                                  <w:marRight w:val="0"/>
                                                  <w:marTop w:val="0"/>
                                                  <w:marBottom w:val="0"/>
                                                  <w:divBdr>
                                                    <w:top w:val="none" w:sz="0" w:space="0" w:color="auto"/>
                                                    <w:left w:val="none" w:sz="0" w:space="0" w:color="auto"/>
                                                    <w:bottom w:val="none" w:sz="0" w:space="0" w:color="auto"/>
                                                    <w:right w:val="none" w:sz="0" w:space="0" w:color="auto"/>
                                                  </w:divBdr>
                                                  <w:divsChild>
                                                    <w:div w:id="1313606081">
                                                      <w:marLeft w:val="0"/>
                                                      <w:marRight w:val="0"/>
                                                      <w:marTop w:val="0"/>
                                                      <w:marBottom w:val="0"/>
                                                      <w:divBdr>
                                                        <w:top w:val="none" w:sz="0" w:space="0" w:color="auto"/>
                                                        <w:left w:val="none" w:sz="0" w:space="0" w:color="auto"/>
                                                        <w:bottom w:val="none" w:sz="0" w:space="0" w:color="auto"/>
                                                        <w:right w:val="none" w:sz="0" w:space="0" w:color="auto"/>
                                                      </w:divBdr>
                                                      <w:divsChild>
                                                        <w:div w:id="2497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reportcards.doe.mass.ed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doe.mass.edu/finance/statistic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yperlink" Target="http://reportcards.doe.mass.edu/"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www.doe.mass.edu/educators/equitableaccess/plan.html" TargetMode="External"/><Relationship Id="rId30" Type="http://schemas.openxmlformats.org/officeDocument/2006/relationships/hyperlink" Target="http://www.doe.mass.edu/research/rada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finance/statistics/ppx14-18.html" TargetMode="External"/><Relationship Id="rId2" Type="http://schemas.openxmlformats.org/officeDocument/2006/relationships/hyperlink" Target="http://www.doe.mass.edu/finance/statistics/ppx14-18.html" TargetMode="External"/><Relationship Id="rId1" Type="http://schemas.openxmlformats.org/officeDocument/2006/relationships/hyperlink" Target="http://www.doe.mass.edu/finance/statistics/ppx14-18.html" TargetMode="External"/><Relationship Id="rId5" Type="http://schemas.openxmlformats.org/officeDocument/2006/relationships/hyperlink" Target="http://www.doe.mass.edu/finance/chapter70/fy2019/whitepaper.html" TargetMode="External"/><Relationship Id="rId4" Type="http://schemas.openxmlformats.org/officeDocument/2006/relationships/hyperlink" Target="http://www.doe.mass.edu/finance/chapter70/fy2018/chapter-1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DESE-231-56642</_dlc_DocId>
    <_dlc_DocIdUrl xmlns="733efe1c-5bbe-4968-87dc-d400e65c879f">
      <Url>https://sharepoint.doemass.org/ese/webteam/cps/_layouts/DocIdRedir.aspx?ID=DESE-231-56642</Url>
      <Description>DESE-231-56642</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64456-1EED-4C5C-98E3-F4DBA94F2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212DF9-B279-4CC8-AD7E-22C897819E7B}">
  <ds:schemaRefs>
    <ds:schemaRef ds:uri="http://schemas.microsoft.com/sharepoint/events"/>
  </ds:schemaRefs>
</ds:datastoreItem>
</file>

<file path=customXml/itemProps3.xml><?xml version="1.0" encoding="utf-8"?>
<ds:datastoreItem xmlns:ds="http://schemas.openxmlformats.org/officeDocument/2006/customXml" ds:itemID="{619AE90E-068E-4734-ABD2-669E8754FA1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5D49C384-AECF-4993-A3C6-A4A8B3C70E09}">
  <ds:schemaRefs>
    <ds:schemaRef ds:uri="http://schemas.microsoft.com/sharepoint/v3/contenttype/forms"/>
  </ds:schemaRefs>
</ds:datastoreItem>
</file>

<file path=customXml/itemProps5.xml><?xml version="1.0" encoding="utf-8"?>
<ds:datastoreItem xmlns:ds="http://schemas.openxmlformats.org/officeDocument/2006/customXml" ds:itemID="{29EE1B49-77FC-478A-84F6-CF74A264B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5912</Words>
  <Characters>33704</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A First Look at School Level Expenditures (December 2019)</vt:lpstr>
    </vt:vector>
  </TitlesOfParts>
  <Company/>
  <LinksUpToDate>false</LinksUpToDate>
  <CharactersWithSpaces>39537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First Look at School Level Expenditures (December 2019)</dc:title>
  <dc:subject/>
  <dc:creator>DESE</dc:creator>
  <cp:keywords/>
  <dc:description/>
  <cp:lastModifiedBy>Zou, Dong (EOE)</cp:lastModifiedBy>
  <cp:revision>3</cp:revision>
  <cp:lastPrinted>2019-09-05T16:55:00Z</cp:lastPrinted>
  <dcterms:created xsi:type="dcterms:W3CDTF">2019-12-04T14:00:00Z</dcterms:created>
  <dcterms:modified xsi:type="dcterms:W3CDTF">2019-12-04T16:30:00Z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4 2019</vt:lpwstr>
  </property>
</Properties>
</file>